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C9" w:rsidRPr="002B373C" w:rsidRDefault="002B373C" w:rsidP="002B373C">
      <w:pPr>
        <w:spacing w:line="240" w:lineRule="auto"/>
        <w:rPr>
          <w:b/>
          <w:sz w:val="2"/>
          <w:szCs w:val="2"/>
        </w:rPr>
      </w:pPr>
      <w:r w:rsidRPr="002B373C">
        <w:rPr>
          <w:b/>
          <w:sz w:val="18"/>
        </w:rPr>
        <w:t xml:space="preserve">Bilaga </w:t>
      </w:r>
      <w:r w:rsidR="00AC2491">
        <w:rPr>
          <w:b/>
          <w:sz w:val="18"/>
        </w:rPr>
        <w:t>I</w:t>
      </w:r>
      <w:r w:rsidRPr="004B5B5D">
        <w:rPr>
          <w:b/>
          <w:sz w:val="18"/>
        </w:rPr>
        <w:t>.</w:t>
      </w:r>
      <w:r w:rsidRPr="002B373C">
        <w:rPr>
          <w:b/>
          <w:sz w:val="18"/>
        </w:rPr>
        <w:t xml:space="preserve"> Avprickningslista för </w:t>
      </w:r>
      <w:r w:rsidR="00EA5610">
        <w:rPr>
          <w:b/>
          <w:sz w:val="18"/>
        </w:rPr>
        <w:t>undantagsdokument</w:t>
      </w:r>
      <w:r w:rsidRPr="002B373C">
        <w:rPr>
          <w:b/>
          <w:sz w:val="18"/>
        </w:rPr>
        <w:t>.</w:t>
      </w:r>
    </w:p>
    <w:p w:rsidR="00BD02C9" w:rsidRDefault="00BD02C9" w:rsidP="00BD02C9">
      <w:pPr>
        <w:pStyle w:val="Rubrik1"/>
        <w:spacing w:after="320"/>
      </w:pPr>
    </w:p>
    <w:p w:rsidR="00BD02C9" w:rsidRDefault="00BD02C9" w:rsidP="00BD02C9">
      <w:pPr>
        <w:pStyle w:val="Rubrik1"/>
        <w:spacing w:after="320"/>
      </w:pPr>
    </w:p>
    <w:p w:rsidR="00BD02C9" w:rsidRDefault="00BD02C9" w:rsidP="00BD02C9">
      <w:pPr>
        <w:pStyle w:val="Rubrik1"/>
        <w:spacing w:after="320"/>
      </w:pPr>
    </w:p>
    <w:p w:rsidR="00BD02C9" w:rsidRDefault="00AC2491" w:rsidP="00BD02C9">
      <w:pPr>
        <w:pStyle w:val="Rubrik1"/>
        <w:spacing w:after="320"/>
      </w:pPr>
      <w:r>
        <w:t>Undantagsdokument</w:t>
      </w:r>
    </w:p>
    <w:p w:rsidR="00BD02C9" w:rsidRDefault="00BD02C9" w:rsidP="00AB6748">
      <w:r w:rsidRPr="002B373C">
        <w:rPr>
          <w:u w:val="single"/>
        </w:rPr>
        <w:t>Emittent</w:t>
      </w:r>
      <w:r>
        <w:t xml:space="preserve">: </w:t>
      </w:r>
      <w:r>
        <w:fldChar w:fldCharType="begin" w:fldLock="1">
          <w:ffData>
            <w:name w:val="Text1"/>
            <w:enabled/>
            <w:calcOnExit w:val="0"/>
            <w:textInput/>
          </w:ffData>
        </w:fldChar>
      </w:r>
      <w:bookmarkStart w:id="0" w:name="Text1"/>
      <w:r w:rsidRPr="00AB6748">
        <w:instrText xml:space="preserve"> FORMTEXT </w:instrText>
      </w:r>
      <w:r>
        <w:fldChar w:fldCharType="separate"/>
      </w:r>
      <w:bookmarkStart w:id="1" w:name="_GoBack"/>
      <w:r>
        <w:t> </w:t>
      </w:r>
      <w:r>
        <w:t> </w:t>
      </w:r>
      <w:r>
        <w:t> </w:t>
      </w:r>
      <w:r>
        <w:t> </w:t>
      </w:r>
      <w:r>
        <w:t> </w:t>
      </w:r>
      <w:bookmarkEnd w:id="1"/>
      <w:r>
        <w:fldChar w:fldCharType="end"/>
      </w:r>
      <w:bookmarkEnd w:id="0"/>
    </w:p>
    <w:p w:rsidR="00BD02C9" w:rsidRDefault="00BD02C9" w:rsidP="00BD02C9"/>
    <w:p w:rsidR="00AC2491" w:rsidRPr="00915135" w:rsidRDefault="00AC2491" w:rsidP="00BD02C9">
      <w:pPr>
        <w:rPr>
          <w:b/>
        </w:rPr>
      </w:pPr>
      <w:r w:rsidRPr="00915135">
        <w:rPr>
          <w:b/>
        </w:rPr>
        <w:t>Information som minst ska ingå i undantagsdokumentet.</w:t>
      </w:r>
    </w:p>
    <w:p w:rsidR="00AC2491" w:rsidRPr="00915135" w:rsidRDefault="00AC2491" w:rsidP="00BD02C9">
      <w:pPr>
        <w:rPr>
          <w:b/>
        </w:rPr>
      </w:pPr>
    </w:p>
    <w:p w:rsidR="00AC2491" w:rsidRPr="00915135" w:rsidRDefault="00AC2491" w:rsidP="00BD02C9">
      <w:pPr>
        <w:rPr>
          <w:b/>
        </w:rPr>
      </w:pPr>
      <w:r w:rsidRPr="00915135">
        <w:rPr>
          <w:b/>
        </w:rPr>
        <w:t>Artikel 2.1 tredje stycket och artikel 2.2</w:t>
      </w:r>
      <w:r w:rsidR="00CD2A1F">
        <w:rPr>
          <w:b/>
        </w:rPr>
        <w:t xml:space="preserve"> i kommissionens delegerade förordning (EU) 2021/528</w:t>
      </w:r>
    </w:p>
    <w:p w:rsidR="00AC2491" w:rsidRDefault="00AC2491" w:rsidP="00BD02C9"/>
    <w:tbl>
      <w:tblPr>
        <w:tblStyle w:val="Tabellrutnt"/>
        <w:tblW w:w="9542" w:type="dxa"/>
        <w:tblLook w:val="04A0" w:firstRow="1" w:lastRow="0" w:firstColumn="1" w:lastColumn="0" w:noHBand="0" w:noVBand="1"/>
      </w:tblPr>
      <w:tblGrid>
        <w:gridCol w:w="1877"/>
        <w:gridCol w:w="3737"/>
        <w:gridCol w:w="1891"/>
        <w:gridCol w:w="2037"/>
      </w:tblGrid>
      <w:tr w:rsidR="00AC2491" w:rsidTr="00915135">
        <w:trPr>
          <w:trHeight w:val="306"/>
        </w:trPr>
        <w:tc>
          <w:tcPr>
            <w:tcW w:w="1877" w:type="dxa"/>
          </w:tcPr>
          <w:p w:rsidR="00AC2491" w:rsidRDefault="00AC2491" w:rsidP="00BD02C9">
            <w:pPr>
              <w:rPr>
                <w:b/>
              </w:rPr>
            </w:pPr>
            <w:r>
              <w:rPr>
                <w:b/>
              </w:rPr>
              <w:t>A</w:t>
            </w:r>
            <w:r w:rsidR="008F6AC7">
              <w:rPr>
                <w:b/>
              </w:rPr>
              <w:t>VSNITT</w:t>
            </w:r>
            <w:r>
              <w:rPr>
                <w:b/>
              </w:rPr>
              <w:t xml:space="preserve"> 1</w:t>
            </w:r>
          </w:p>
        </w:tc>
        <w:tc>
          <w:tcPr>
            <w:tcW w:w="3737" w:type="dxa"/>
          </w:tcPr>
          <w:p w:rsidR="00AC2491" w:rsidRDefault="008F6AC7" w:rsidP="00BD02C9">
            <w:pPr>
              <w:rPr>
                <w:b/>
              </w:rPr>
            </w:pPr>
            <w:r w:rsidRPr="00915135">
              <w:rPr>
                <w:b/>
              </w:rPr>
              <w:t>PERSONER MED ANSVAR FÖR ATT UTFORMA UNDANTAGSDOKUMENTET, TREDJEPARTSINFORMATION OCH SAKKUNNIGUTLÅTANDE</w:t>
            </w:r>
          </w:p>
          <w:p w:rsidR="008F6AC7" w:rsidRPr="008F6AC7" w:rsidRDefault="008F6AC7" w:rsidP="00BD02C9">
            <w:pPr>
              <w:rPr>
                <w:b/>
              </w:rPr>
            </w:pPr>
          </w:p>
        </w:tc>
        <w:tc>
          <w:tcPr>
            <w:tcW w:w="1891" w:type="dxa"/>
          </w:tcPr>
          <w:p w:rsidR="009B49CE" w:rsidRDefault="009B49CE" w:rsidP="009B49CE">
            <w:pPr>
              <w:rPr>
                <w:b/>
              </w:rPr>
            </w:pPr>
            <w:r>
              <w:rPr>
                <w:b/>
              </w:rPr>
              <w:t>Sidor i undantags-</w:t>
            </w:r>
          </w:p>
          <w:p w:rsidR="00AC2491" w:rsidRDefault="009B49CE" w:rsidP="009B49CE">
            <w:pPr>
              <w:rPr>
                <w:b/>
              </w:rPr>
            </w:pPr>
            <w:r>
              <w:rPr>
                <w:b/>
              </w:rPr>
              <w:t>dokument</w:t>
            </w:r>
          </w:p>
        </w:tc>
        <w:tc>
          <w:tcPr>
            <w:tcW w:w="2037" w:type="dxa"/>
          </w:tcPr>
          <w:p w:rsidR="00AC2491" w:rsidRDefault="008F6AC7" w:rsidP="00BD02C9">
            <w:pPr>
              <w:rPr>
                <w:b/>
              </w:rPr>
            </w:pPr>
            <w:r>
              <w:rPr>
                <w:b/>
              </w:rPr>
              <w:t>Bolagets kommentarer</w:t>
            </w:r>
          </w:p>
        </w:tc>
      </w:tr>
      <w:tr w:rsidR="00AC2491" w:rsidTr="00915135">
        <w:trPr>
          <w:trHeight w:val="296"/>
        </w:trPr>
        <w:tc>
          <w:tcPr>
            <w:tcW w:w="1877" w:type="dxa"/>
          </w:tcPr>
          <w:p w:rsidR="00AC2491" w:rsidRDefault="008F6AC7" w:rsidP="00BD02C9">
            <w:pPr>
              <w:rPr>
                <w:b/>
              </w:rPr>
            </w:pPr>
            <w:r>
              <w:rPr>
                <w:b/>
              </w:rPr>
              <w:t>Punkt 1.1</w:t>
            </w:r>
          </w:p>
        </w:tc>
        <w:tc>
          <w:tcPr>
            <w:tcW w:w="3737" w:type="dxa"/>
          </w:tcPr>
          <w:p w:rsidR="008F6AC7" w:rsidRPr="00915135" w:rsidRDefault="008F6AC7" w:rsidP="00BD02C9">
            <w:pPr>
              <w:rPr>
                <w:b/>
              </w:rPr>
            </w:pPr>
            <w:r w:rsidRPr="00915135">
              <w:rPr>
                <w:b/>
              </w:rPr>
              <w:t xml:space="preserve">Identifikation av personer med ansvar för att utforma undantagsdokumentet </w:t>
            </w:r>
          </w:p>
          <w:p w:rsidR="008F6AC7" w:rsidRDefault="008F6AC7" w:rsidP="00BD02C9"/>
          <w:p w:rsidR="00AC2491" w:rsidRDefault="008F6AC7" w:rsidP="00BD02C9">
            <w:r>
              <w:t>Identifiera alla personer med ansvar för informationen eller delar av denna. Dessa delar ska i förekommande fall anges i undantagsdokumentet. När det gäller fysiska personer, däribland medlemmar av emittentens förvaltnings-, lednings- eller kontrollorgan, ska deras namn och befattning anges. När det gäller juridiska personer ska deras namn och säte anges.</w:t>
            </w:r>
          </w:p>
          <w:p w:rsidR="008F6AC7" w:rsidRDefault="008F6AC7" w:rsidP="00BD02C9">
            <w:pPr>
              <w:rPr>
                <w:b/>
              </w:rPr>
            </w:pPr>
          </w:p>
        </w:tc>
        <w:tc>
          <w:tcPr>
            <w:tcW w:w="1891" w:type="dxa"/>
          </w:tcPr>
          <w:p w:rsidR="00AC2491" w:rsidRDefault="008F6AC7" w:rsidP="00BD02C9">
            <w:pPr>
              <w:rPr>
                <w:b/>
              </w:rPr>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AC2491" w:rsidRDefault="008F6AC7" w:rsidP="00BD02C9">
            <w:pPr>
              <w:rPr>
                <w:b/>
              </w:rPr>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2491" w:rsidTr="00915135">
        <w:trPr>
          <w:trHeight w:val="306"/>
        </w:trPr>
        <w:tc>
          <w:tcPr>
            <w:tcW w:w="1877" w:type="dxa"/>
          </w:tcPr>
          <w:p w:rsidR="00AC2491" w:rsidRDefault="008F6AC7" w:rsidP="00BD02C9">
            <w:pPr>
              <w:rPr>
                <w:b/>
              </w:rPr>
            </w:pPr>
            <w:r>
              <w:rPr>
                <w:b/>
              </w:rPr>
              <w:t>Punkt 1.2</w:t>
            </w:r>
          </w:p>
        </w:tc>
        <w:tc>
          <w:tcPr>
            <w:tcW w:w="3737" w:type="dxa"/>
          </w:tcPr>
          <w:p w:rsidR="008F6AC7" w:rsidRPr="00915135" w:rsidRDefault="008F6AC7" w:rsidP="00BD02C9">
            <w:pPr>
              <w:rPr>
                <w:b/>
              </w:rPr>
            </w:pPr>
            <w:r w:rsidRPr="00915135">
              <w:rPr>
                <w:b/>
              </w:rPr>
              <w:t xml:space="preserve">Ansvarsförsäkran </w:t>
            </w:r>
          </w:p>
          <w:p w:rsidR="008F6AC7" w:rsidRDefault="008F6AC7" w:rsidP="00BD02C9"/>
          <w:p w:rsidR="008F6AC7" w:rsidRDefault="008F6AC7" w:rsidP="00BD02C9">
            <w:r>
              <w:t xml:space="preserve">En förklaring av de som ansvarar för undantagsdokumentet att enligt deras kännedom överensstämmer den information som ges i undantagsdokumentet med sakförhållandena och har ingen uppgift som sannolikt skulle kunna påverka dess innebörd utelämnats. </w:t>
            </w:r>
          </w:p>
          <w:p w:rsidR="00AC2491" w:rsidRDefault="008F6AC7" w:rsidP="00BD02C9">
            <w:r>
              <w:t>I tillämpliga fall, en förklaring av de som ansvarar för vissa delar av undantagsdokumentet att enligt deras kännedom överensstämmer den information som ges i de delar av undantagsdokumentet som de ansvarar för med sakförhållandena och har ingen uppgift som sannolikt skulle kunna påverka dess innebörd utelämnats från dessa delar av dokumentet.</w:t>
            </w:r>
          </w:p>
          <w:p w:rsidR="008F6AC7" w:rsidRDefault="008F6AC7" w:rsidP="00BD02C9">
            <w:pPr>
              <w:rPr>
                <w:b/>
              </w:rPr>
            </w:pPr>
          </w:p>
        </w:tc>
        <w:tc>
          <w:tcPr>
            <w:tcW w:w="1891" w:type="dxa"/>
          </w:tcPr>
          <w:p w:rsidR="00AC2491" w:rsidRDefault="008F6AC7" w:rsidP="00BD02C9">
            <w:pPr>
              <w:rPr>
                <w:b/>
              </w:rPr>
            </w:pPr>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AC2491" w:rsidRDefault="008F6AC7" w:rsidP="00BD02C9">
            <w:pPr>
              <w:rPr>
                <w:b/>
              </w:rPr>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2491" w:rsidTr="00915135">
        <w:trPr>
          <w:trHeight w:val="296"/>
        </w:trPr>
        <w:tc>
          <w:tcPr>
            <w:tcW w:w="1877" w:type="dxa"/>
          </w:tcPr>
          <w:p w:rsidR="00AC2491" w:rsidRDefault="008F6AC7" w:rsidP="00BD02C9">
            <w:pPr>
              <w:rPr>
                <w:b/>
              </w:rPr>
            </w:pPr>
            <w:r>
              <w:rPr>
                <w:b/>
              </w:rPr>
              <w:t>Punkt 1.3</w:t>
            </w:r>
          </w:p>
        </w:tc>
        <w:tc>
          <w:tcPr>
            <w:tcW w:w="3737" w:type="dxa"/>
          </w:tcPr>
          <w:p w:rsidR="00036170" w:rsidRDefault="008F6AC7" w:rsidP="00BD02C9">
            <w:pPr>
              <w:rPr>
                <w:b/>
              </w:rPr>
            </w:pPr>
            <w:r w:rsidRPr="00915135">
              <w:rPr>
                <w:b/>
              </w:rPr>
              <w:t xml:space="preserve">Sakkunnigutlåtande eller </w:t>
            </w:r>
          </w:p>
          <w:p w:rsidR="008F6AC7" w:rsidRPr="00915135" w:rsidRDefault="00036170" w:rsidP="00BD02C9">
            <w:pPr>
              <w:rPr>
                <w:b/>
              </w:rPr>
            </w:pPr>
            <w:r>
              <w:rPr>
                <w:b/>
              </w:rPr>
              <w:t>-</w:t>
            </w:r>
            <w:r w:rsidR="008F6AC7" w:rsidRPr="00915135">
              <w:rPr>
                <w:b/>
              </w:rPr>
              <w:t xml:space="preserve">rapport </w:t>
            </w:r>
          </w:p>
          <w:p w:rsidR="008F6AC7" w:rsidRDefault="008F6AC7" w:rsidP="00BD02C9"/>
          <w:p w:rsidR="008F6AC7" w:rsidRDefault="008F6AC7" w:rsidP="00BD02C9">
            <w:r>
              <w:t xml:space="preserve">Om ett utlåtande eller en rapport från en person som är sakkunnig ingår i undantagsdokumentet ska följande uppgifter anges för den personen: </w:t>
            </w:r>
          </w:p>
          <w:p w:rsidR="008F6AC7" w:rsidRDefault="008F6AC7" w:rsidP="00BD02C9"/>
          <w:p w:rsidR="008F6AC7" w:rsidRDefault="008F6AC7">
            <w:r>
              <w:t xml:space="preserve">a) Namn. </w:t>
            </w:r>
            <w:r>
              <w:br/>
            </w:r>
          </w:p>
          <w:p w:rsidR="008F6AC7" w:rsidRDefault="008F6AC7">
            <w:r>
              <w:t xml:space="preserve">b) Kontorsadress. </w:t>
            </w:r>
          </w:p>
          <w:p w:rsidR="008F6AC7" w:rsidRDefault="008F6AC7">
            <w:r>
              <w:br/>
              <w:t xml:space="preserve">c) Kvalifikationer. </w:t>
            </w:r>
          </w:p>
          <w:p w:rsidR="008F6AC7" w:rsidRDefault="008F6AC7">
            <w:r>
              <w:br/>
              <w:t xml:space="preserve">d) Eventuellt väsentligt intresse i emittenten. </w:t>
            </w:r>
          </w:p>
          <w:p w:rsidR="00AC2491" w:rsidRDefault="008F6AC7" w:rsidP="00BD02C9">
            <w:r>
              <w:br/>
              <w:t>Om utlåtandet eller rapporten har tagits fram på emittentens begäran, ange att ett sådant uttalande eller en sådan rapport har tagits med i undantagsdokumentet med godkännande av den person som har bestyrkt innehållet i den delen av undantagsdokumentet.</w:t>
            </w:r>
          </w:p>
          <w:p w:rsidR="008F6AC7" w:rsidRDefault="008F6AC7" w:rsidP="00BD02C9">
            <w:pPr>
              <w:rPr>
                <w:b/>
              </w:rPr>
            </w:pPr>
          </w:p>
        </w:tc>
        <w:tc>
          <w:tcPr>
            <w:tcW w:w="1891" w:type="dxa"/>
          </w:tcPr>
          <w:p w:rsidR="00AC2491" w:rsidRDefault="008F6AC7" w:rsidP="00BD02C9">
            <w:pPr>
              <w:rPr>
                <w:b/>
              </w:rPr>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AC2491" w:rsidRDefault="008F6AC7" w:rsidP="00BD02C9">
            <w:pPr>
              <w:rPr>
                <w:b/>
              </w:rPr>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F6AC7" w:rsidTr="00915135">
        <w:trPr>
          <w:trHeight w:val="296"/>
        </w:trPr>
        <w:tc>
          <w:tcPr>
            <w:tcW w:w="1877" w:type="dxa"/>
          </w:tcPr>
          <w:p w:rsidR="008F6AC7" w:rsidRDefault="008F6AC7" w:rsidP="00BD02C9">
            <w:pPr>
              <w:rPr>
                <w:b/>
              </w:rPr>
            </w:pPr>
            <w:r>
              <w:rPr>
                <w:b/>
              </w:rPr>
              <w:t>Punkt 1.4</w:t>
            </w:r>
          </w:p>
        </w:tc>
        <w:tc>
          <w:tcPr>
            <w:tcW w:w="3737" w:type="dxa"/>
          </w:tcPr>
          <w:p w:rsidR="008F6AC7" w:rsidRPr="00915135" w:rsidRDefault="008F6AC7" w:rsidP="00BD02C9">
            <w:pPr>
              <w:rPr>
                <w:b/>
              </w:rPr>
            </w:pPr>
            <w:r w:rsidRPr="00915135">
              <w:rPr>
                <w:b/>
              </w:rPr>
              <w:t xml:space="preserve">Information från en tredje part </w:t>
            </w:r>
          </w:p>
          <w:p w:rsidR="008F6AC7" w:rsidRDefault="008F6AC7" w:rsidP="00BD02C9"/>
          <w:p w:rsidR="008F6AC7" w:rsidRDefault="008F6AC7" w:rsidP="00BD02C9">
            <w:r>
              <w:t>Om information har anskaffats från en tredje part, lämna en bekräftelse på att denna information har återgetts korrekt och att såvitt emittenten känner till och kan utröna av information som offentliggjorts av denna tredje part inga sakförhållanden har utelämnats som skulle göra den återgivna informationen felaktig eller vilseledande. Identifiera även informationskällan eller informationskällorna.</w:t>
            </w:r>
          </w:p>
          <w:p w:rsidR="008F6AC7" w:rsidRPr="008F6AC7" w:rsidRDefault="008F6AC7" w:rsidP="00BD02C9">
            <w:pPr>
              <w:rPr>
                <w:b/>
              </w:rPr>
            </w:pPr>
          </w:p>
        </w:tc>
        <w:tc>
          <w:tcPr>
            <w:tcW w:w="1891" w:type="dxa"/>
          </w:tcPr>
          <w:p w:rsidR="008F6AC7" w:rsidRDefault="008F6AC7" w:rsidP="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8F6AC7" w:rsidRDefault="008F6AC7" w:rsidP="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F6AC7" w:rsidTr="00915135">
        <w:trPr>
          <w:trHeight w:val="296"/>
        </w:trPr>
        <w:tc>
          <w:tcPr>
            <w:tcW w:w="1877" w:type="dxa"/>
          </w:tcPr>
          <w:p w:rsidR="008F6AC7" w:rsidRDefault="008F6AC7" w:rsidP="00BD02C9">
            <w:pPr>
              <w:rPr>
                <w:b/>
              </w:rPr>
            </w:pPr>
            <w:r>
              <w:rPr>
                <w:b/>
              </w:rPr>
              <w:t>Punkt 1.5</w:t>
            </w:r>
          </w:p>
        </w:tc>
        <w:tc>
          <w:tcPr>
            <w:tcW w:w="3737" w:type="dxa"/>
          </w:tcPr>
          <w:p w:rsidR="008F6AC7" w:rsidRPr="00915135" w:rsidRDefault="008F6AC7" w:rsidP="00BD02C9">
            <w:pPr>
              <w:rPr>
                <w:b/>
              </w:rPr>
            </w:pPr>
            <w:r w:rsidRPr="00915135">
              <w:rPr>
                <w:b/>
              </w:rPr>
              <w:t xml:space="preserve">Regleringsuttalanden </w:t>
            </w:r>
          </w:p>
          <w:p w:rsidR="008F6AC7" w:rsidRDefault="008F6AC7" w:rsidP="00BD02C9"/>
          <w:p w:rsidR="008F6AC7" w:rsidRDefault="008F6AC7" w:rsidP="00BD02C9">
            <w:r>
              <w:t xml:space="preserve">Ett uttalande om att </w:t>
            </w:r>
          </w:p>
          <w:p w:rsidR="008F6AC7" w:rsidRDefault="008F6AC7" w:rsidP="00BD02C9"/>
          <w:p w:rsidR="008F6AC7" w:rsidRDefault="008F6AC7" w:rsidP="00BD02C9">
            <w:r>
              <w:t xml:space="preserve">a) undantagsdokumentet utgör inte ett prospekt enligt förordning (EU) 2017/1129, </w:t>
            </w:r>
            <w:r>
              <w:br/>
            </w:r>
          </w:p>
          <w:p w:rsidR="008F6AC7" w:rsidRDefault="008F6AC7" w:rsidP="00BD02C9">
            <w:r>
              <w:t xml:space="preserve">b) undantagsdokumentet har inte granskats och godkänts av vidkommande behörig myndighet i enlighet med artikel 20 av förordning (EU) 2017/1129, </w:t>
            </w:r>
            <w:r>
              <w:br/>
            </w:r>
          </w:p>
          <w:p w:rsidR="008F6AC7" w:rsidRDefault="008F6AC7" w:rsidP="00BD02C9">
            <w:r>
              <w:t>c) enligt artikel 1.6a b i förordning (EU) 2017/1129, i tillämpliga fall, har tillsynsmyndigheten med behörighet att granska anbudsdokumentet enligt direktiv 2004/25/EG utfärdat ett förhandsgodkännande av undantagsdokumentet.</w:t>
            </w:r>
          </w:p>
          <w:p w:rsidR="008F6AC7" w:rsidRPr="008F6AC7" w:rsidRDefault="008F6AC7" w:rsidP="00BD02C9">
            <w:pPr>
              <w:rPr>
                <w:b/>
              </w:rPr>
            </w:pPr>
          </w:p>
        </w:tc>
        <w:tc>
          <w:tcPr>
            <w:tcW w:w="1891" w:type="dxa"/>
          </w:tcPr>
          <w:p w:rsidR="008F6AC7" w:rsidRDefault="008F6AC7" w:rsidP="00BD02C9">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8F6AC7" w:rsidRDefault="008F6AC7" w:rsidP="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AC2491" w:rsidRDefault="00AC2491" w:rsidP="00BD02C9">
      <w:pPr>
        <w:rPr>
          <w:b/>
        </w:rPr>
      </w:pPr>
    </w:p>
    <w:p w:rsidR="00AC2491" w:rsidRDefault="00AC2491" w:rsidP="00BD02C9">
      <w:pPr>
        <w:rPr>
          <w:b/>
        </w:rPr>
      </w:pPr>
    </w:p>
    <w:tbl>
      <w:tblPr>
        <w:tblStyle w:val="Tabellrutnt"/>
        <w:tblW w:w="9542" w:type="dxa"/>
        <w:tblLook w:val="04A0" w:firstRow="1" w:lastRow="0" w:firstColumn="1" w:lastColumn="0" w:noHBand="0" w:noVBand="1"/>
      </w:tblPr>
      <w:tblGrid>
        <w:gridCol w:w="1877"/>
        <w:gridCol w:w="3737"/>
        <w:gridCol w:w="1891"/>
        <w:gridCol w:w="2037"/>
      </w:tblGrid>
      <w:tr w:rsidR="008F6AC7" w:rsidTr="008F6AC7">
        <w:trPr>
          <w:trHeight w:val="306"/>
        </w:trPr>
        <w:tc>
          <w:tcPr>
            <w:tcW w:w="1877" w:type="dxa"/>
          </w:tcPr>
          <w:p w:rsidR="008F6AC7" w:rsidRDefault="008F6AC7" w:rsidP="008F6AC7">
            <w:pPr>
              <w:rPr>
                <w:b/>
              </w:rPr>
            </w:pPr>
            <w:r>
              <w:rPr>
                <w:b/>
              </w:rPr>
              <w:t>AVSNITT 2</w:t>
            </w:r>
          </w:p>
        </w:tc>
        <w:tc>
          <w:tcPr>
            <w:tcW w:w="3737" w:type="dxa"/>
          </w:tcPr>
          <w:p w:rsidR="008F6AC7" w:rsidRPr="00915135" w:rsidRDefault="008F6AC7" w:rsidP="008F6AC7">
            <w:pPr>
              <w:rPr>
                <w:b/>
              </w:rPr>
            </w:pPr>
            <w:r w:rsidRPr="00915135">
              <w:rPr>
                <w:b/>
              </w:rPr>
              <w:t xml:space="preserve">INFORMATION OM EMITTENTEN OCH MÅLBOLAGET, FÖRETAGET SOM FÖRVÄRVAS ELLER FÖRETAGET SOM DELAS </w:t>
            </w:r>
          </w:p>
          <w:p w:rsidR="008F6AC7" w:rsidRPr="00641D14" w:rsidRDefault="008F6AC7" w:rsidP="008F6AC7">
            <w:pPr>
              <w:rPr>
                <w:b/>
              </w:rPr>
            </w:pPr>
          </w:p>
        </w:tc>
        <w:tc>
          <w:tcPr>
            <w:tcW w:w="1891" w:type="dxa"/>
          </w:tcPr>
          <w:p w:rsidR="009B49CE" w:rsidRDefault="009B49CE" w:rsidP="009B49CE">
            <w:pPr>
              <w:rPr>
                <w:b/>
              </w:rPr>
            </w:pPr>
            <w:r>
              <w:rPr>
                <w:b/>
              </w:rPr>
              <w:t>Sidor i undantags-</w:t>
            </w:r>
          </w:p>
          <w:p w:rsidR="008F6AC7" w:rsidRDefault="009B49CE" w:rsidP="009B49CE">
            <w:pPr>
              <w:rPr>
                <w:b/>
              </w:rPr>
            </w:pPr>
            <w:r>
              <w:rPr>
                <w:b/>
              </w:rPr>
              <w:t>dokument</w:t>
            </w:r>
          </w:p>
        </w:tc>
        <w:tc>
          <w:tcPr>
            <w:tcW w:w="2037" w:type="dxa"/>
          </w:tcPr>
          <w:p w:rsidR="008F6AC7" w:rsidRDefault="008F6AC7" w:rsidP="008F6AC7">
            <w:pPr>
              <w:rPr>
                <w:b/>
              </w:rPr>
            </w:pPr>
            <w:r>
              <w:rPr>
                <w:b/>
              </w:rPr>
              <w:t>Bolagets kommentarer</w:t>
            </w:r>
          </w:p>
        </w:tc>
      </w:tr>
      <w:tr w:rsidR="008F6AC7" w:rsidTr="008F6AC7">
        <w:trPr>
          <w:trHeight w:val="306"/>
        </w:trPr>
        <w:tc>
          <w:tcPr>
            <w:tcW w:w="9542" w:type="dxa"/>
            <w:gridSpan w:val="4"/>
          </w:tcPr>
          <w:p w:rsidR="001276B4" w:rsidRPr="00915135" w:rsidRDefault="008F6AC7" w:rsidP="008F6AC7">
            <w:pPr>
              <w:rPr>
                <w:b/>
                <w:i/>
              </w:rPr>
            </w:pPr>
            <w:r w:rsidRPr="00915135">
              <w:rPr>
                <w:b/>
                <w:i/>
              </w:rPr>
              <w:t xml:space="preserve">Om inte annat uppges ska de punkter som förtecknas i avsnitt 2 tillhandahållas för emittenten och, beroende på typen av transaktion, målbolaget, företaget som förvärvas eller företaget som delas. Om någon av de ovannämnda enheterna är en koncern och dess koncernredovisning har offentliggjorts ska informationen i detta avsnitt också inlämnas på koncernbasis. </w:t>
            </w:r>
          </w:p>
          <w:p w:rsidR="001276B4" w:rsidRPr="00915135" w:rsidRDefault="001276B4" w:rsidP="008F6AC7">
            <w:pPr>
              <w:rPr>
                <w:b/>
                <w:i/>
              </w:rPr>
            </w:pPr>
          </w:p>
          <w:p w:rsidR="001276B4" w:rsidRPr="00915135" w:rsidRDefault="008F6AC7" w:rsidP="008F6AC7">
            <w:pPr>
              <w:rPr>
                <w:b/>
                <w:i/>
              </w:rPr>
            </w:pPr>
            <w:r w:rsidRPr="00915135">
              <w:rPr>
                <w:b/>
                <w:i/>
              </w:rPr>
              <w:t xml:space="preserve">För andra aktierelaterade värdepapper än aktier ska de punkter som anges i avsnitt 2 också tillhandahållas för emittenten av de underliggande aktierna, om denne är någon annan än emittenten av de aktierelaterade värdepapperen. </w:t>
            </w:r>
          </w:p>
          <w:p w:rsidR="001276B4" w:rsidRPr="00915135" w:rsidRDefault="001276B4" w:rsidP="008F6AC7">
            <w:pPr>
              <w:rPr>
                <w:b/>
                <w:i/>
              </w:rPr>
            </w:pPr>
          </w:p>
          <w:p w:rsidR="008F6AC7" w:rsidRPr="00915135" w:rsidRDefault="008F6AC7" w:rsidP="008F6AC7">
            <w:pPr>
              <w:rPr>
                <w:b/>
                <w:i/>
              </w:rPr>
            </w:pPr>
            <w:r w:rsidRPr="00915135">
              <w:rPr>
                <w:b/>
                <w:i/>
              </w:rPr>
              <w:t>I händelse av ett offentligt uppköpserbjudande genom erbjudande om utbyte av värdepapper och den obligatoriska informationen om målbolaget inte finns tillgängligt ska ett uttalande om detta tillhandahållas.</w:t>
            </w:r>
          </w:p>
          <w:p w:rsidR="001276B4" w:rsidRDefault="001276B4" w:rsidP="008F6AC7">
            <w:pPr>
              <w:rPr>
                <w:b/>
              </w:rPr>
            </w:pPr>
          </w:p>
        </w:tc>
      </w:tr>
      <w:tr w:rsidR="001276B4" w:rsidTr="00F87C38">
        <w:trPr>
          <w:trHeight w:val="296"/>
        </w:trPr>
        <w:tc>
          <w:tcPr>
            <w:tcW w:w="1877" w:type="dxa"/>
          </w:tcPr>
          <w:p w:rsidR="001276B4" w:rsidRDefault="001276B4" w:rsidP="008F6AC7">
            <w:pPr>
              <w:rPr>
                <w:b/>
              </w:rPr>
            </w:pPr>
            <w:r>
              <w:rPr>
                <w:b/>
              </w:rPr>
              <w:t>Punkt 2.1</w:t>
            </w:r>
          </w:p>
        </w:tc>
        <w:tc>
          <w:tcPr>
            <w:tcW w:w="7665" w:type="dxa"/>
            <w:gridSpan w:val="3"/>
          </w:tcPr>
          <w:p w:rsidR="001276B4" w:rsidRDefault="001276B4" w:rsidP="008F6AC7">
            <w:pPr>
              <w:rPr>
                <w:b/>
              </w:rPr>
            </w:pPr>
            <w:r w:rsidRPr="00915135">
              <w:rPr>
                <w:b/>
              </w:rPr>
              <w:t>Allmänna uppgifter</w:t>
            </w:r>
          </w:p>
          <w:p w:rsidR="001276B4" w:rsidRPr="00915135" w:rsidRDefault="001276B4" w:rsidP="008F6AC7">
            <w:pPr>
              <w:rPr>
                <w:b/>
              </w:rPr>
            </w:pPr>
          </w:p>
        </w:tc>
      </w:tr>
      <w:tr w:rsidR="001276B4" w:rsidTr="008F6AC7">
        <w:trPr>
          <w:trHeight w:val="296"/>
        </w:trPr>
        <w:tc>
          <w:tcPr>
            <w:tcW w:w="1877" w:type="dxa"/>
          </w:tcPr>
          <w:p w:rsidR="001276B4" w:rsidRDefault="001276B4" w:rsidP="008F6AC7">
            <w:pPr>
              <w:rPr>
                <w:b/>
              </w:rPr>
            </w:pPr>
            <w:r>
              <w:rPr>
                <w:b/>
              </w:rPr>
              <w:t>Punkt 2.1.1</w:t>
            </w:r>
          </w:p>
        </w:tc>
        <w:tc>
          <w:tcPr>
            <w:tcW w:w="3737" w:type="dxa"/>
          </w:tcPr>
          <w:p w:rsidR="001276B4" w:rsidRDefault="001276B4" w:rsidP="008F6AC7">
            <w:r>
              <w:t>Juridiskt namn och handelsnamn</w:t>
            </w:r>
          </w:p>
          <w:p w:rsidR="001276B4" w:rsidRPr="00641D14" w:rsidRDefault="001276B4" w:rsidP="008F6AC7">
            <w:pPr>
              <w:rPr>
                <w:b/>
              </w:rPr>
            </w:pPr>
          </w:p>
        </w:tc>
        <w:tc>
          <w:tcPr>
            <w:tcW w:w="1891" w:type="dxa"/>
          </w:tcPr>
          <w:p w:rsidR="001276B4" w:rsidRDefault="001276B4"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1276B4" w:rsidRDefault="001276B4"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F6AC7" w:rsidTr="008F6AC7">
        <w:trPr>
          <w:trHeight w:val="296"/>
        </w:trPr>
        <w:tc>
          <w:tcPr>
            <w:tcW w:w="1877" w:type="dxa"/>
          </w:tcPr>
          <w:p w:rsidR="008F6AC7" w:rsidRDefault="008F6AC7" w:rsidP="008F6AC7">
            <w:pPr>
              <w:rPr>
                <w:b/>
              </w:rPr>
            </w:pPr>
            <w:r>
              <w:rPr>
                <w:b/>
              </w:rPr>
              <w:t xml:space="preserve">Punkt </w:t>
            </w:r>
            <w:r w:rsidR="001276B4">
              <w:rPr>
                <w:b/>
              </w:rPr>
              <w:t>2.1.2</w:t>
            </w:r>
          </w:p>
        </w:tc>
        <w:tc>
          <w:tcPr>
            <w:tcW w:w="3737" w:type="dxa"/>
          </w:tcPr>
          <w:p w:rsidR="001276B4" w:rsidRDefault="001276B4" w:rsidP="008F6AC7">
            <w:r>
              <w:t xml:space="preserve">a) hemvist och rättslig form </w:t>
            </w:r>
            <w:r>
              <w:br/>
            </w:r>
            <w:r>
              <w:br/>
              <w:t xml:space="preserve">b) LEI-kod </w:t>
            </w:r>
            <w:r>
              <w:br/>
            </w:r>
            <w:r>
              <w:br/>
              <w:t xml:space="preserve">c) lagstiftningen i landet där enheten är registrerad, </w:t>
            </w:r>
            <w:r>
              <w:br/>
            </w:r>
            <w:r>
              <w:br/>
              <w:t xml:space="preserve">d) land där enheten är registrerad samt adress och telefonnummer till dess huvudkontor (eller huvudsakliga verksamhetsplats om denna inte är samma som det registrerade huvudkontoret), </w:t>
            </w:r>
            <w:r>
              <w:br/>
            </w:r>
            <w:r>
              <w:br/>
              <w:t xml:space="preserve">e) hyperlänk till en webbplats med en ansvarsfriskrivning om att informationen på webbplatsen inte är del av undantagsdokumentet utom i fall då denna information har införlivats genom hänvisning i undantagsdokumentet. </w:t>
            </w:r>
          </w:p>
          <w:p w:rsidR="008F6AC7" w:rsidRDefault="008F6AC7" w:rsidP="008F6AC7">
            <w:pPr>
              <w:rPr>
                <w:b/>
              </w:rPr>
            </w:pPr>
          </w:p>
        </w:tc>
        <w:tc>
          <w:tcPr>
            <w:tcW w:w="1891" w:type="dxa"/>
          </w:tcPr>
          <w:p w:rsidR="008F6AC7" w:rsidRDefault="008F6AC7" w:rsidP="008F6AC7">
            <w:pPr>
              <w:rPr>
                <w:b/>
              </w:rPr>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8F6AC7" w:rsidRDefault="008F6AC7" w:rsidP="008F6AC7">
            <w:pPr>
              <w:rPr>
                <w:b/>
              </w:rPr>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F6AC7" w:rsidTr="008F6AC7">
        <w:trPr>
          <w:trHeight w:val="306"/>
        </w:trPr>
        <w:tc>
          <w:tcPr>
            <w:tcW w:w="1877" w:type="dxa"/>
          </w:tcPr>
          <w:p w:rsidR="008F6AC7" w:rsidRDefault="008F6AC7" w:rsidP="008F6AC7">
            <w:pPr>
              <w:rPr>
                <w:b/>
              </w:rPr>
            </w:pPr>
            <w:r>
              <w:rPr>
                <w:b/>
              </w:rPr>
              <w:t xml:space="preserve">Punkt </w:t>
            </w:r>
            <w:r w:rsidR="001276B4">
              <w:rPr>
                <w:b/>
              </w:rPr>
              <w:t>2.1.3</w:t>
            </w:r>
          </w:p>
        </w:tc>
        <w:tc>
          <w:tcPr>
            <w:tcW w:w="3737" w:type="dxa"/>
          </w:tcPr>
          <w:p w:rsidR="008F6AC7" w:rsidRDefault="001276B4" w:rsidP="008F6AC7">
            <w:r>
              <w:t>Namn på revisorer för perioden som omfattas av årsredovisningarna och namnet på de yrkesorganisationer som de är medlemmar av.</w:t>
            </w:r>
          </w:p>
          <w:p w:rsidR="008F6AC7" w:rsidRDefault="008F6AC7" w:rsidP="008F6AC7">
            <w:pPr>
              <w:rPr>
                <w:b/>
              </w:rPr>
            </w:pPr>
          </w:p>
        </w:tc>
        <w:tc>
          <w:tcPr>
            <w:tcW w:w="1891" w:type="dxa"/>
          </w:tcPr>
          <w:p w:rsidR="008F6AC7" w:rsidRDefault="008F6AC7" w:rsidP="008F6AC7">
            <w:pPr>
              <w:rPr>
                <w:b/>
              </w:rPr>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8F6AC7" w:rsidRDefault="008F6AC7" w:rsidP="008F6AC7">
            <w:pPr>
              <w:rPr>
                <w:b/>
              </w:rPr>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276B4" w:rsidTr="00F87C38">
        <w:trPr>
          <w:trHeight w:val="296"/>
        </w:trPr>
        <w:tc>
          <w:tcPr>
            <w:tcW w:w="1877" w:type="dxa"/>
          </w:tcPr>
          <w:p w:rsidR="001276B4" w:rsidRDefault="001276B4" w:rsidP="008F6AC7">
            <w:pPr>
              <w:rPr>
                <w:b/>
              </w:rPr>
            </w:pPr>
            <w:r>
              <w:rPr>
                <w:b/>
              </w:rPr>
              <w:t>Punkt 2.2</w:t>
            </w:r>
          </w:p>
        </w:tc>
        <w:tc>
          <w:tcPr>
            <w:tcW w:w="7665" w:type="dxa"/>
            <w:gridSpan w:val="3"/>
          </w:tcPr>
          <w:p w:rsidR="001276B4" w:rsidRPr="00915135" w:rsidRDefault="001276B4">
            <w:pPr>
              <w:rPr>
                <w:b/>
              </w:rPr>
            </w:pPr>
            <w:r w:rsidRPr="00915135">
              <w:rPr>
                <w:b/>
              </w:rPr>
              <w:t>Företagets verksamhet</w:t>
            </w:r>
          </w:p>
          <w:p w:rsidR="001276B4" w:rsidRDefault="001276B4">
            <w:pPr>
              <w:rPr>
                <w:b/>
              </w:rPr>
            </w:pPr>
          </w:p>
        </w:tc>
      </w:tr>
      <w:tr w:rsidR="008F6AC7" w:rsidTr="008F6AC7">
        <w:trPr>
          <w:trHeight w:val="296"/>
        </w:trPr>
        <w:tc>
          <w:tcPr>
            <w:tcW w:w="1877" w:type="dxa"/>
          </w:tcPr>
          <w:p w:rsidR="008F6AC7" w:rsidRDefault="008F6AC7" w:rsidP="008F6AC7">
            <w:pPr>
              <w:rPr>
                <w:b/>
              </w:rPr>
            </w:pPr>
            <w:r>
              <w:rPr>
                <w:b/>
              </w:rPr>
              <w:t xml:space="preserve">Punkt </w:t>
            </w:r>
            <w:r w:rsidR="001276B4">
              <w:rPr>
                <w:b/>
              </w:rPr>
              <w:t>2.2.1</w:t>
            </w:r>
          </w:p>
        </w:tc>
        <w:tc>
          <w:tcPr>
            <w:tcW w:w="3737" w:type="dxa"/>
          </w:tcPr>
          <w:p w:rsidR="001276B4" w:rsidRDefault="001276B4">
            <w:r>
              <w:t xml:space="preserve">Huvudsaklig verksamhet, inklusive huvudsakliga produktkategorier till försäljning och/eller tillhandahållna tjänster under det senaste räkenskapsåret. </w:t>
            </w:r>
          </w:p>
          <w:p w:rsidR="008F6AC7" w:rsidRPr="008F6AC7" w:rsidRDefault="008F6AC7">
            <w:pPr>
              <w:rPr>
                <w:b/>
              </w:rPr>
            </w:pPr>
          </w:p>
        </w:tc>
        <w:tc>
          <w:tcPr>
            <w:tcW w:w="1891" w:type="dxa"/>
          </w:tcPr>
          <w:p w:rsidR="008F6AC7" w:rsidRDefault="008F6AC7"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8F6AC7" w:rsidRDefault="008F6AC7"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F6AC7" w:rsidTr="008F6AC7">
        <w:trPr>
          <w:trHeight w:val="296"/>
        </w:trPr>
        <w:tc>
          <w:tcPr>
            <w:tcW w:w="1877" w:type="dxa"/>
          </w:tcPr>
          <w:p w:rsidR="008F6AC7" w:rsidRDefault="008F6AC7" w:rsidP="008F6AC7">
            <w:pPr>
              <w:rPr>
                <w:b/>
              </w:rPr>
            </w:pPr>
            <w:r>
              <w:rPr>
                <w:b/>
              </w:rPr>
              <w:lastRenderedPageBreak/>
              <w:t xml:space="preserve">Punkt </w:t>
            </w:r>
            <w:r w:rsidR="001276B4">
              <w:rPr>
                <w:b/>
              </w:rPr>
              <w:t>2.2.2</w:t>
            </w:r>
          </w:p>
        </w:tc>
        <w:tc>
          <w:tcPr>
            <w:tcW w:w="3737" w:type="dxa"/>
          </w:tcPr>
          <w:p w:rsidR="001276B4" w:rsidRDefault="001276B4">
            <w:r>
              <w:t xml:space="preserve">Eventuella betydande förändringar som berört enhetens rörelse och huvudverksamhet sedan utgången av den period som täcks av det senaste offentliggjorda reviderade årsbokslutet. </w:t>
            </w:r>
          </w:p>
          <w:p w:rsidR="008F6AC7" w:rsidRPr="00641D14" w:rsidRDefault="008F6AC7" w:rsidP="001276B4">
            <w:pPr>
              <w:rPr>
                <w:b/>
              </w:rPr>
            </w:pPr>
          </w:p>
        </w:tc>
        <w:tc>
          <w:tcPr>
            <w:tcW w:w="1891" w:type="dxa"/>
          </w:tcPr>
          <w:p w:rsidR="008F6AC7" w:rsidRDefault="008F6AC7"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8F6AC7" w:rsidRDefault="008F6AC7"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276B4" w:rsidTr="008F6AC7">
        <w:trPr>
          <w:trHeight w:val="296"/>
        </w:trPr>
        <w:tc>
          <w:tcPr>
            <w:tcW w:w="1877" w:type="dxa"/>
          </w:tcPr>
          <w:p w:rsidR="001276B4" w:rsidRDefault="001276B4" w:rsidP="008F6AC7">
            <w:pPr>
              <w:rPr>
                <w:b/>
              </w:rPr>
            </w:pPr>
            <w:r>
              <w:rPr>
                <w:b/>
              </w:rPr>
              <w:t>Punkt 2.2.3</w:t>
            </w:r>
          </w:p>
        </w:tc>
        <w:tc>
          <w:tcPr>
            <w:tcW w:w="3737" w:type="dxa"/>
          </w:tcPr>
          <w:p w:rsidR="001276B4" w:rsidRDefault="001276B4" w:rsidP="001276B4">
            <w:r>
              <w:t xml:space="preserve">En kort beskrivning av huvudsakliga marknader, inklusive totala intäkter fördelat mellan verksamhetssegment och geografiska marknader under det senaste räkenskapsåret. </w:t>
            </w:r>
          </w:p>
          <w:p w:rsidR="001276B4" w:rsidRDefault="001276B4" w:rsidP="001276B4"/>
          <w:p w:rsidR="001276B4" w:rsidRDefault="001276B4" w:rsidP="001276B4">
            <w:r>
              <w:t>I händelse av delning ska beskrivningen som avses i det första stycket hänvisa till de huvudsakliga marknader där företaget som delas har sina huvudsakliga tillgångar och skulder.</w:t>
            </w:r>
          </w:p>
          <w:p w:rsidR="001276B4" w:rsidRDefault="001276B4" w:rsidP="001276B4"/>
        </w:tc>
        <w:tc>
          <w:tcPr>
            <w:tcW w:w="1891" w:type="dxa"/>
          </w:tcPr>
          <w:p w:rsidR="001276B4" w:rsidRDefault="001276B4"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1276B4" w:rsidRDefault="001276B4"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276B4" w:rsidTr="008F6AC7">
        <w:trPr>
          <w:trHeight w:val="296"/>
        </w:trPr>
        <w:tc>
          <w:tcPr>
            <w:tcW w:w="1877" w:type="dxa"/>
          </w:tcPr>
          <w:p w:rsidR="001276B4" w:rsidRDefault="001276B4" w:rsidP="008F6AC7">
            <w:pPr>
              <w:rPr>
                <w:b/>
              </w:rPr>
            </w:pPr>
            <w:r>
              <w:rPr>
                <w:b/>
              </w:rPr>
              <w:t>Punkt 2.3</w:t>
            </w:r>
          </w:p>
        </w:tc>
        <w:tc>
          <w:tcPr>
            <w:tcW w:w="3737" w:type="dxa"/>
          </w:tcPr>
          <w:p w:rsidR="001276B4" w:rsidRPr="00915135" w:rsidRDefault="001276B4" w:rsidP="001276B4">
            <w:pPr>
              <w:rPr>
                <w:b/>
              </w:rPr>
            </w:pPr>
            <w:r w:rsidRPr="00915135">
              <w:rPr>
                <w:b/>
              </w:rPr>
              <w:t xml:space="preserve">Investeringar </w:t>
            </w:r>
          </w:p>
          <w:p w:rsidR="001276B4" w:rsidRDefault="001276B4" w:rsidP="001276B4"/>
          <w:p w:rsidR="001276B4" w:rsidRDefault="001276B4" w:rsidP="001276B4">
            <w:r>
              <w:t>En beskrivning av väsentliga investeringar sedan datumet för det senaste offentliggjorda årsbokslutet och investeringar som är på gång och/eller för vilka fasta åtaganden redan har gjorts, samt förväntade finansieringskällor.</w:t>
            </w:r>
          </w:p>
          <w:p w:rsidR="001276B4" w:rsidRDefault="001276B4" w:rsidP="001276B4"/>
        </w:tc>
        <w:tc>
          <w:tcPr>
            <w:tcW w:w="1891" w:type="dxa"/>
          </w:tcPr>
          <w:p w:rsidR="001276B4" w:rsidRDefault="001276B4"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1276B4" w:rsidRDefault="001276B4"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EE3904" w:rsidTr="00F87C38">
        <w:trPr>
          <w:trHeight w:val="296"/>
        </w:trPr>
        <w:tc>
          <w:tcPr>
            <w:tcW w:w="1877" w:type="dxa"/>
          </w:tcPr>
          <w:p w:rsidR="00EE3904" w:rsidRDefault="00EE3904" w:rsidP="008F6AC7">
            <w:pPr>
              <w:rPr>
                <w:b/>
              </w:rPr>
            </w:pPr>
            <w:r>
              <w:rPr>
                <w:b/>
              </w:rPr>
              <w:t>Punkt 2.4</w:t>
            </w:r>
          </w:p>
        </w:tc>
        <w:tc>
          <w:tcPr>
            <w:tcW w:w="7665" w:type="dxa"/>
            <w:gridSpan w:val="3"/>
          </w:tcPr>
          <w:p w:rsidR="00EE3904" w:rsidRPr="00915135" w:rsidRDefault="00EE3904" w:rsidP="008F6AC7">
            <w:pPr>
              <w:rPr>
                <w:b/>
              </w:rPr>
            </w:pPr>
            <w:r w:rsidRPr="00915135">
              <w:rPr>
                <w:b/>
              </w:rPr>
              <w:t>Företagsstyrning</w:t>
            </w:r>
          </w:p>
          <w:p w:rsidR="00EE3904" w:rsidRDefault="00EE3904" w:rsidP="008F6AC7"/>
        </w:tc>
      </w:tr>
      <w:tr w:rsidR="00EE3904" w:rsidTr="008F6AC7">
        <w:trPr>
          <w:trHeight w:val="296"/>
        </w:trPr>
        <w:tc>
          <w:tcPr>
            <w:tcW w:w="1877" w:type="dxa"/>
          </w:tcPr>
          <w:p w:rsidR="00EE3904" w:rsidRDefault="00EE3904" w:rsidP="008F6AC7">
            <w:pPr>
              <w:rPr>
                <w:b/>
              </w:rPr>
            </w:pPr>
            <w:r>
              <w:rPr>
                <w:b/>
              </w:rPr>
              <w:t>Punkt 2.4.1</w:t>
            </w:r>
          </w:p>
        </w:tc>
        <w:tc>
          <w:tcPr>
            <w:tcW w:w="3737" w:type="dxa"/>
          </w:tcPr>
          <w:p w:rsidR="00EE3904" w:rsidRDefault="00EE3904" w:rsidP="001276B4">
            <w:r>
              <w:t>Namn, kontorsadresser och funktioner inom emittenten, eller beroende på typen av transaktion, målbolaget, företaget som förvärvas eller företaget som delas, för medlemmar i förvaltnings-, lednings- eller tillsynsorgan samt, i händelse av kommanditaktiebolag, partner med obegränsat ansvar.</w:t>
            </w:r>
          </w:p>
          <w:p w:rsidR="00EE3904" w:rsidRDefault="00EE3904" w:rsidP="001276B4"/>
        </w:tc>
        <w:tc>
          <w:tcPr>
            <w:tcW w:w="1891" w:type="dxa"/>
          </w:tcPr>
          <w:p w:rsidR="00EE3904" w:rsidRDefault="00EE3904"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EE3904" w:rsidRDefault="00EE3904"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EE3904" w:rsidTr="008F6AC7">
        <w:trPr>
          <w:trHeight w:val="296"/>
        </w:trPr>
        <w:tc>
          <w:tcPr>
            <w:tcW w:w="1877" w:type="dxa"/>
          </w:tcPr>
          <w:p w:rsidR="00EE3904" w:rsidRDefault="00EE3904" w:rsidP="008F6AC7">
            <w:pPr>
              <w:rPr>
                <w:b/>
              </w:rPr>
            </w:pPr>
            <w:r>
              <w:rPr>
                <w:b/>
              </w:rPr>
              <w:t>Punkt 2.4.2</w:t>
            </w:r>
          </w:p>
        </w:tc>
        <w:tc>
          <w:tcPr>
            <w:tcW w:w="3737" w:type="dxa"/>
          </w:tcPr>
          <w:p w:rsidR="00EE3904" w:rsidRDefault="00EE3904" w:rsidP="001276B4">
            <w:r>
              <w:t>Större aktieägares identitet</w:t>
            </w:r>
          </w:p>
          <w:p w:rsidR="00EE3904" w:rsidRDefault="00EE3904" w:rsidP="001276B4"/>
        </w:tc>
        <w:tc>
          <w:tcPr>
            <w:tcW w:w="1891" w:type="dxa"/>
          </w:tcPr>
          <w:p w:rsidR="00EE3904" w:rsidRDefault="00EE3904"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EE3904" w:rsidRDefault="00EE3904"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EE3904" w:rsidTr="008F6AC7">
        <w:trPr>
          <w:trHeight w:val="296"/>
        </w:trPr>
        <w:tc>
          <w:tcPr>
            <w:tcW w:w="1877" w:type="dxa"/>
          </w:tcPr>
          <w:p w:rsidR="00EE3904" w:rsidRDefault="00EE3904" w:rsidP="008F6AC7">
            <w:pPr>
              <w:rPr>
                <w:b/>
              </w:rPr>
            </w:pPr>
            <w:r>
              <w:rPr>
                <w:b/>
              </w:rPr>
              <w:t>Punkt 2.4.3</w:t>
            </w:r>
          </w:p>
        </w:tc>
        <w:tc>
          <w:tcPr>
            <w:tcW w:w="3737" w:type="dxa"/>
          </w:tcPr>
          <w:p w:rsidR="00EE3904" w:rsidRDefault="00EE3904" w:rsidP="001276B4">
            <w:r>
              <w:t>Antal anställda</w:t>
            </w:r>
          </w:p>
          <w:p w:rsidR="00EE3904" w:rsidRDefault="00EE3904" w:rsidP="001276B4"/>
        </w:tc>
        <w:tc>
          <w:tcPr>
            <w:tcW w:w="1891" w:type="dxa"/>
          </w:tcPr>
          <w:p w:rsidR="00EE3904" w:rsidRDefault="00EE3904"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EE3904" w:rsidRDefault="00EE3904"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245E" w:rsidTr="00F87C38">
        <w:trPr>
          <w:trHeight w:val="296"/>
        </w:trPr>
        <w:tc>
          <w:tcPr>
            <w:tcW w:w="1877" w:type="dxa"/>
          </w:tcPr>
          <w:p w:rsidR="00BD245E" w:rsidRDefault="00BD245E" w:rsidP="008F6AC7">
            <w:pPr>
              <w:rPr>
                <w:b/>
              </w:rPr>
            </w:pPr>
            <w:r>
              <w:rPr>
                <w:b/>
              </w:rPr>
              <w:t>Punkt 2.5</w:t>
            </w:r>
          </w:p>
        </w:tc>
        <w:tc>
          <w:tcPr>
            <w:tcW w:w="7665" w:type="dxa"/>
            <w:gridSpan w:val="3"/>
          </w:tcPr>
          <w:p w:rsidR="00BD245E" w:rsidRPr="00915135" w:rsidRDefault="00BD245E" w:rsidP="008F6AC7">
            <w:pPr>
              <w:rPr>
                <w:b/>
              </w:rPr>
            </w:pPr>
            <w:r w:rsidRPr="00915135">
              <w:rPr>
                <w:b/>
              </w:rPr>
              <w:t>Finansiell information</w:t>
            </w:r>
          </w:p>
          <w:p w:rsidR="00BD245E" w:rsidRDefault="00BD245E" w:rsidP="008F6AC7"/>
        </w:tc>
      </w:tr>
      <w:tr w:rsidR="00BD245E" w:rsidTr="008F6AC7">
        <w:trPr>
          <w:trHeight w:val="296"/>
        </w:trPr>
        <w:tc>
          <w:tcPr>
            <w:tcW w:w="1877" w:type="dxa"/>
          </w:tcPr>
          <w:p w:rsidR="00BD245E" w:rsidRDefault="00BD245E" w:rsidP="008F6AC7">
            <w:pPr>
              <w:rPr>
                <w:b/>
              </w:rPr>
            </w:pPr>
            <w:r>
              <w:rPr>
                <w:b/>
              </w:rPr>
              <w:t>Punkt 2.5.1</w:t>
            </w:r>
          </w:p>
        </w:tc>
        <w:tc>
          <w:tcPr>
            <w:tcW w:w="3737" w:type="dxa"/>
          </w:tcPr>
          <w:p w:rsidR="00BD245E" w:rsidRDefault="00BD245E" w:rsidP="001276B4">
            <w:r>
              <w:t>Årsbokslut och halvårsrapporter</w:t>
            </w:r>
            <w:r>
              <w:br/>
            </w:r>
            <w:r>
              <w:br/>
              <w:t xml:space="preserve">Årsbokslut och halvårsrapporter som offentliggjorts under de 12 månader som föregår offentliggörandet av undantagsdokumentet. </w:t>
            </w:r>
          </w:p>
          <w:p w:rsidR="00BD245E" w:rsidRDefault="00BD245E" w:rsidP="001276B4"/>
          <w:p w:rsidR="00BD245E" w:rsidRDefault="00BD245E" w:rsidP="001276B4">
            <w:r>
              <w:t xml:space="preserve">Om både årsbokslut och halvårsrapporter har offentliggjorts behöver endast årsbokslutet lämnas om dess datum infaller efter halvårsrapportens datum. </w:t>
            </w:r>
          </w:p>
          <w:p w:rsidR="00BD245E" w:rsidRDefault="00BD245E" w:rsidP="001276B4"/>
          <w:p w:rsidR="00BD245E" w:rsidRDefault="00BD245E" w:rsidP="001276B4">
            <w:r>
              <w:t xml:space="preserve">Årsbokslut och halvårsrapporter ska innehålla revisionsberättelser. </w:t>
            </w:r>
          </w:p>
          <w:p w:rsidR="00BD245E" w:rsidRDefault="00BD245E" w:rsidP="001276B4"/>
          <w:p w:rsidR="00BD245E" w:rsidRDefault="00BD245E" w:rsidP="001276B4">
            <w:r>
              <w:lastRenderedPageBreak/>
              <w:t>När lagstadgade revisorer har underkänt revisionsberättelser för årsbokslut och halvårsrapporter eller där sådana revisionsberättelser innehåller förbehåll, ändringar av uttalanden, reservationer eller upplysningar av särskild betydelse ska dessa underkännanden, anmärkningar, ändringar av uttalanden, reservationer eller upplysningar av särskild betydelse återges i sin helhet och skälen till dem anges</w:t>
            </w:r>
            <w:r w:rsidR="00036170">
              <w:t>.</w:t>
            </w:r>
          </w:p>
          <w:p w:rsidR="00BD245E" w:rsidRDefault="00BD245E" w:rsidP="001276B4"/>
        </w:tc>
        <w:tc>
          <w:tcPr>
            <w:tcW w:w="1891" w:type="dxa"/>
          </w:tcPr>
          <w:p w:rsidR="00BD245E" w:rsidRDefault="00BD245E" w:rsidP="008F6AC7">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BD245E" w:rsidRDefault="00BD245E"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245E" w:rsidTr="008F6AC7">
        <w:trPr>
          <w:trHeight w:val="296"/>
        </w:trPr>
        <w:tc>
          <w:tcPr>
            <w:tcW w:w="1877" w:type="dxa"/>
          </w:tcPr>
          <w:p w:rsidR="00BD245E" w:rsidRDefault="00BD245E" w:rsidP="008F6AC7">
            <w:pPr>
              <w:rPr>
                <w:b/>
              </w:rPr>
            </w:pPr>
            <w:r>
              <w:rPr>
                <w:b/>
              </w:rPr>
              <w:t>Punkt 2.5.1.a</w:t>
            </w:r>
          </w:p>
          <w:p w:rsidR="00BD245E" w:rsidRPr="00915135" w:rsidRDefault="00BD245E" w:rsidP="008F6AC7">
            <w:r w:rsidRPr="00915135">
              <w:t>(endast fusioner)</w:t>
            </w:r>
          </w:p>
        </w:tc>
        <w:tc>
          <w:tcPr>
            <w:tcW w:w="3737" w:type="dxa"/>
          </w:tcPr>
          <w:p w:rsidR="00BD245E" w:rsidRDefault="00BD245E" w:rsidP="001276B4">
            <w:r>
              <w:t xml:space="preserve">Genom undantag från punkt 2.5.1 om företaget som förvärvas inte har aktierelaterade värdepapper som redan har upptagits till handel på en reglerad marknad ska företaget tillhandahålla granskade årsbokslut och halvårsrapporter som antagits under de senaste 12 månaderna före det att undantagsdokumentet offentliggjorts. </w:t>
            </w:r>
          </w:p>
          <w:p w:rsidR="00BD245E" w:rsidRDefault="00BD245E" w:rsidP="001276B4"/>
          <w:p w:rsidR="00BD245E" w:rsidRDefault="00BD245E" w:rsidP="001276B4">
            <w:r>
              <w:t xml:space="preserve">Om både årsbokslut och halvårsrapporter har offentliggjorts behöver endast årsbokslutet lämnas om dess datum infaller efter halvårsrapportens datum. </w:t>
            </w:r>
          </w:p>
          <w:p w:rsidR="00BD245E" w:rsidRDefault="00BD245E" w:rsidP="001276B4"/>
          <w:p w:rsidR="00BD245E" w:rsidRDefault="00BD245E" w:rsidP="001276B4">
            <w:r>
              <w:t xml:space="preserve">Årsbokslut och halvårsrapporter ska innehålla revisionsberättelser. </w:t>
            </w:r>
          </w:p>
          <w:p w:rsidR="00BD245E" w:rsidRDefault="00BD245E" w:rsidP="001276B4"/>
          <w:p w:rsidR="00BD245E" w:rsidRDefault="00BD245E" w:rsidP="001276B4">
            <w:r>
              <w:t xml:space="preserve">När lagstadgade revisorer har underkänt revisionsberättelser för årsbokslut och halvårsrapporter eller där sådana revisionsberättelser innehåller förbehåll, ändringar av uttalanden, reservationer eller upplysningar av särskild betydelse ska dessa underkännanden, anmärkningar, ändringar av uttalanden, reservationer eller upplysningar av särskild betydelse återges i sin helhet och skälen till dem anges. </w:t>
            </w:r>
          </w:p>
          <w:p w:rsidR="00BD245E" w:rsidRDefault="00BD245E" w:rsidP="001276B4"/>
          <w:p w:rsidR="00BD245E" w:rsidRDefault="00BD245E" w:rsidP="001276B4">
            <w:r>
              <w:t>Om företaget som förvärvas saknar reviderade årsbokslut och halvårsrapporter ska det tillhandahålla årsbokslut och halvårsrapporter som förberetts under de senaste 12 månaderna och ett negativt uttalande vari det framgår att årsbokslutet och halvårsrapporten inte har genomgått revision.</w:t>
            </w:r>
          </w:p>
          <w:p w:rsidR="00BD245E" w:rsidRDefault="00BD245E" w:rsidP="001276B4"/>
        </w:tc>
        <w:tc>
          <w:tcPr>
            <w:tcW w:w="1891" w:type="dxa"/>
          </w:tcPr>
          <w:p w:rsidR="00BD245E" w:rsidRDefault="00BD245E"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BD245E" w:rsidRDefault="00BD245E"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245E" w:rsidTr="008F6AC7">
        <w:trPr>
          <w:trHeight w:val="296"/>
        </w:trPr>
        <w:tc>
          <w:tcPr>
            <w:tcW w:w="1877" w:type="dxa"/>
          </w:tcPr>
          <w:p w:rsidR="00BD245E" w:rsidRDefault="00BD245E" w:rsidP="008F6AC7">
            <w:pPr>
              <w:rPr>
                <w:b/>
              </w:rPr>
            </w:pPr>
            <w:r>
              <w:rPr>
                <w:b/>
              </w:rPr>
              <w:t>Punkt 2.5.2</w:t>
            </w:r>
          </w:p>
        </w:tc>
        <w:tc>
          <w:tcPr>
            <w:tcW w:w="3737" w:type="dxa"/>
          </w:tcPr>
          <w:p w:rsidR="00BD245E" w:rsidRDefault="00BD245E" w:rsidP="001276B4">
            <w:r>
              <w:t xml:space="preserve">Redovisningsstandarder </w:t>
            </w:r>
          </w:p>
          <w:p w:rsidR="00BD245E" w:rsidRDefault="00BD245E" w:rsidP="001276B4"/>
          <w:p w:rsidR="00BD245E" w:rsidRDefault="00BD245E" w:rsidP="001276B4">
            <w:r>
              <w:t xml:space="preserve">Redovisningen ska utarbetas i enlighet med internationella standarder för finansiell redovisning som godkänts av EU genom </w:t>
            </w:r>
            <w:r>
              <w:lastRenderedPageBreak/>
              <w:t>Europaparlamentets och rådets förordning (EG) nr 1606/2002</w:t>
            </w:r>
            <w:r w:rsidR="002C5C14">
              <w:t xml:space="preserve"> (</w:t>
            </w:r>
            <w:r w:rsidR="002C5C14">
              <w:rPr>
                <w:rStyle w:val="Fotnotsreferens"/>
              </w:rPr>
              <w:footnoteReference w:id="1"/>
            </w:r>
            <w:r w:rsidR="002C5C14">
              <w:t>)</w:t>
            </w:r>
            <w:r>
              <w:t xml:space="preserve">. </w:t>
            </w:r>
          </w:p>
          <w:p w:rsidR="00BD245E" w:rsidRDefault="00BD245E" w:rsidP="001276B4"/>
          <w:p w:rsidR="002C5C14" w:rsidRDefault="00BD245E" w:rsidP="001276B4">
            <w:r>
              <w:t xml:space="preserve">Om förordning (EG) nr 1606/2002 inte är tillämplig ska den finansiella informationen utarbetas i enlighet med </w:t>
            </w:r>
            <w:r w:rsidR="002C5C14">
              <w:br/>
            </w:r>
            <w:r w:rsidR="002C5C14">
              <w:br/>
            </w:r>
            <w:r>
              <w:t xml:space="preserve">a) en medlemsstats nationella redovisningsstandarder, när det gäller emittenter från EES, i enlighet med Europaparlamentets och </w:t>
            </w:r>
            <w:r w:rsidR="002C5C14">
              <w:t xml:space="preserve">rådets direktiv </w:t>
            </w:r>
          </w:p>
          <w:p w:rsidR="00BD245E" w:rsidRDefault="002C5C14" w:rsidP="001276B4">
            <w:r>
              <w:t>2013/34/EU (</w:t>
            </w:r>
            <w:r>
              <w:rPr>
                <w:rStyle w:val="Fotnotsreferens"/>
              </w:rPr>
              <w:footnoteReference w:id="2"/>
            </w:r>
            <w:r>
              <w:t>)</w:t>
            </w:r>
            <w:r w:rsidR="00BD245E">
              <w:t xml:space="preserve">. </w:t>
            </w:r>
            <w:r>
              <w:br/>
            </w:r>
            <w:r>
              <w:br/>
            </w:r>
            <w:r w:rsidR="00BD245E">
              <w:t>b) ett tredjelands nationella redovisningsstandarder som är likvärdiga med förordning (EG) nr 1606/2002, när det gäller emittenter i tredjeland. Om dessa nationella redovisningsstandarder i tredjeland inte är likvärdiga med förordning (EG) nr 1606/2002, ska årsbokslutet omarbetas i enlighet med den förordningen.</w:t>
            </w:r>
            <w:r>
              <w:br/>
            </w:r>
          </w:p>
        </w:tc>
        <w:tc>
          <w:tcPr>
            <w:tcW w:w="1891" w:type="dxa"/>
          </w:tcPr>
          <w:p w:rsidR="00BD245E" w:rsidRDefault="002C5C14" w:rsidP="008F6AC7">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BD245E" w:rsidRDefault="002C5C14"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245E" w:rsidTr="008F6AC7">
        <w:trPr>
          <w:trHeight w:val="296"/>
        </w:trPr>
        <w:tc>
          <w:tcPr>
            <w:tcW w:w="1877" w:type="dxa"/>
          </w:tcPr>
          <w:p w:rsidR="00BD245E" w:rsidRDefault="002C5C14" w:rsidP="008F6AC7">
            <w:pPr>
              <w:rPr>
                <w:b/>
              </w:rPr>
            </w:pPr>
            <w:r>
              <w:rPr>
                <w:b/>
              </w:rPr>
              <w:t>Punkt 2.5.3</w:t>
            </w:r>
          </w:p>
        </w:tc>
        <w:tc>
          <w:tcPr>
            <w:tcW w:w="3737" w:type="dxa"/>
          </w:tcPr>
          <w:p w:rsidR="002C5C14" w:rsidRDefault="002C5C14" w:rsidP="001276B4">
            <w:r>
              <w:t xml:space="preserve">En beskrivning av alla betydande förändringar den finansiella ställningen som har inträffat sedan utgången av den senaste räkenskapsperiod för vilken antingen ett reviderat årsbokslut eller en delårsrapport har offentliggjorts, eller uppgift om att inga förändringar har skett om detta är fallet. </w:t>
            </w:r>
          </w:p>
          <w:p w:rsidR="002C5C14" w:rsidRDefault="002C5C14" w:rsidP="001276B4"/>
          <w:p w:rsidR="00BD245E" w:rsidRDefault="002C5C14" w:rsidP="001276B4">
            <w:r>
              <w:t>I förekommande fall information om kända trender, osäkerheter, krav, åtaganden eller händelser som sannolikt kan ha en väsentlig inverkan på emittenten och, beroende på typ av transaktion, målbolaget, företaget som förvärvas eller företaget som delas för som minst det aktuella räkenskapsåret.</w:t>
            </w:r>
          </w:p>
          <w:p w:rsidR="002C5C14" w:rsidRDefault="002C5C14" w:rsidP="001276B4"/>
        </w:tc>
        <w:tc>
          <w:tcPr>
            <w:tcW w:w="1891" w:type="dxa"/>
          </w:tcPr>
          <w:p w:rsidR="00BD245E" w:rsidRDefault="002C5C14"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BD245E" w:rsidRDefault="002C5C14"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C5C14" w:rsidTr="008F6AC7">
        <w:trPr>
          <w:trHeight w:val="296"/>
        </w:trPr>
        <w:tc>
          <w:tcPr>
            <w:tcW w:w="1877" w:type="dxa"/>
          </w:tcPr>
          <w:p w:rsidR="002C5C14" w:rsidRDefault="002C5C14" w:rsidP="008F6AC7">
            <w:pPr>
              <w:rPr>
                <w:b/>
              </w:rPr>
            </w:pPr>
            <w:r>
              <w:rPr>
                <w:b/>
              </w:rPr>
              <w:t>Punkt 2.5.4</w:t>
            </w:r>
          </w:p>
        </w:tc>
        <w:tc>
          <w:tcPr>
            <w:tcW w:w="3737" w:type="dxa"/>
          </w:tcPr>
          <w:p w:rsidR="002C5C14" w:rsidRDefault="002C5C14" w:rsidP="001276B4">
            <w:r>
              <w:t>Företagsstyrningsrapporter som avses i artiklarna 19 och 29 i direktiv 2013/34/EU i förekommande fall.</w:t>
            </w:r>
          </w:p>
          <w:p w:rsidR="002C5C14" w:rsidRDefault="002C5C14" w:rsidP="001276B4"/>
        </w:tc>
        <w:tc>
          <w:tcPr>
            <w:tcW w:w="1891" w:type="dxa"/>
          </w:tcPr>
          <w:p w:rsidR="002C5C14" w:rsidRDefault="002C5C14"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2C5C14" w:rsidRDefault="002C5C14"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C5C14" w:rsidTr="008F6AC7">
        <w:trPr>
          <w:trHeight w:val="296"/>
        </w:trPr>
        <w:tc>
          <w:tcPr>
            <w:tcW w:w="1877" w:type="dxa"/>
          </w:tcPr>
          <w:p w:rsidR="002C5C14" w:rsidRDefault="002C5C14" w:rsidP="008F6AC7">
            <w:pPr>
              <w:rPr>
                <w:b/>
              </w:rPr>
            </w:pPr>
            <w:r>
              <w:rPr>
                <w:b/>
              </w:rPr>
              <w:t>Punkt 2.6</w:t>
            </w:r>
          </w:p>
        </w:tc>
        <w:tc>
          <w:tcPr>
            <w:tcW w:w="3737" w:type="dxa"/>
          </w:tcPr>
          <w:p w:rsidR="002C5C14" w:rsidRPr="00915135" w:rsidRDefault="002C5C14" w:rsidP="001276B4">
            <w:pPr>
              <w:rPr>
                <w:b/>
              </w:rPr>
            </w:pPr>
            <w:r w:rsidRPr="00915135">
              <w:rPr>
                <w:b/>
              </w:rPr>
              <w:t xml:space="preserve">Rättsliga förfaranden och skiljeförfaranden </w:t>
            </w:r>
          </w:p>
          <w:p w:rsidR="002C5C14" w:rsidRDefault="002C5C14" w:rsidP="001276B4"/>
          <w:p w:rsidR="002C5C14" w:rsidRDefault="002C5C14" w:rsidP="001276B4">
            <w:r>
              <w:t xml:space="preserve">Information om myndighetsförfaranden, rättsliga förfaranden eller skiljeförfaranden (inbegripet förfaranden som ännu inte är avgjorda eller som enligt emittenten, målbolaget, det förvärvade företaget eller det delade företagets kännedom riskerar att bli </w:t>
            </w:r>
            <w:r>
              <w:lastRenderedPageBreak/>
              <w:t xml:space="preserve">inledda) under en period som täcker åtminstone de tolv föregående månaderna, vilka kan få eller under den senaste tiden har haft betydande effekter på emittenten, målbolaget, företaget som förvärvas eller företaget som delas och/eller koncernens finansiella ställning eller lönsamhet, eller uppgift om att några sådana förfaranden inte föreligger. </w:t>
            </w:r>
          </w:p>
          <w:p w:rsidR="002C5C14" w:rsidRDefault="002C5C14" w:rsidP="001276B4"/>
          <w:p w:rsidR="002C5C14" w:rsidRDefault="002C5C14" w:rsidP="001276B4">
            <w:r>
              <w:t>I händelse av delning ska information om rättsliga förfaranden och skiljeförfaranden hänvisa till de tillgångar och skulder som är föremål för delningen.</w:t>
            </w:r>
          </w:p>
          <w:p w:rsidR="002C5C14" w:rsidRDefault="002C5C14" w:rsidP="001276B4"/>
        </w:tc>
        <w:tc>
          <w:tcPr>
            <w:tcW w:w="1891" w:type="dxa"/>
          </w:tcPr>
          <w:p w:rsidR="002C5C14" w:rsidRDefault="002C5C14" w:rsidP="008F6AC7">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2C5C14" w:rsidRDefault="002C5C14"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22B19" w:rsidTr="008F6AC7">
        <w:trPr>
          <w:trHeight w:val="296"/>
        </w:trPr>
        <w:tc>
          <w:tcPr>
            <w:tcW w:w="1877" w:type="dxa"/>
          </w:tcPr>
          <w:p w:rsidR="00022B19" w:rsidRDefault="00022B19" w:rsidP="008F6AC7">
            <w:pPr>
              <w:rPr>
                <w:b/>
              </w:rPr>
            </w:pPr>
            <w:r>
              <w:rPr>
                <w:b/>
              </w:rPr>
              <w:t>Punkt 2.7</w:t>
            </w:r>
          </w:p>
        </w:tc>
        <w:tc>
          <w:tcPr>
            <w:tcW w:w="3737" w:type="dxa"/>
          </w:tcPr>
          <w:p w:rsidR="00022B19" w:rsidRPr="00915135" w:rsidRDefault="00022B19" w:rsidP="001276B4">
            <w:pPr>
              <w:rPr>
                <w:b/>
              </w:rPr>
            </w:pPr>
            <w:r w:rsidRPr="00915135">
              <w:rPr>
                <w:b/>
              </w:rPr>
              <w:t>Sammanfattning av information som delges enligt Europaparlamentets och rådets förordning (EU) nr 596/2014 (</w:t>
            </w:r>
            <w:r w:rsidRPr="00915135">
              <w:rPr>
                <w:rStyle w:val="Fotnotsreferens"/>
                <w:b/>
              </w:rPr>
              <w:footnoteReference w:id="3"/>
            </w:r>
            <w:r w:rsidRPr="00915135">
              <w:rPr>
                <w:b/>
              </w:rPr>
              <w:t xml:space="preserve">) </w:t>
            </w:r>
          </w:p>
          <w:p w:rsidR="00022B19" w:rsidRDefault="00022B19" w:rsidP="001276B4"/>
          <w:p w:rsidR="00022B19" w:rsidRDefault="00022B19" w:rsidP="001276B4">
            <w:r>
              <w:t xml:space="preserve">För enheter inom tillämpningsområdet för förordning (EU) nr 596/2014, en sammanfattning av informationen som delges enligt den förordningen under de senaste 12 månaderna, om informationen är relevant på undantagsdokumentets datum. </w:t>
            </w:r>
          </w:p>
          <w:p w:rsidR="00022B19" w:rsidRDefault="00022B19" w:rsidP="001276B4"/>
          <w:p w:rsidR="00022B19" w:rsidRDefault="00022B19" w:rsidP="001276B4">
            <w:r>
              <w:t>Denna sammanfattning ska presenteras i en koncis och lättbegriplig form som gör den lätt att analysera och får inte utgöra en upprepning av information som redan offentliggjorts enligt förordning (EU) nr 596/2014. Sammanfattningen ska vara uppdelad på ett begränsat antal kategorier beroende på ämne.</w:t>
            </w:r>
          </w:p>
          <w:p w:rsidR="00022B19" w:rsidRPr="00022B19" w:rsidRDefault="00022B19" w:rsidP="001276B4">
            <w:pPr>
              <w:rPr>
                <w:b/>
              </w:rPr>
            </w:pPr>
          </w:p>
        </w:tc>
        <w:tc>
          <w:tcPr>
            <w:tcW w:w="1891" w:type="dxa"/>
          </w:tcPr>
          <w:p w:rsidR="00022B19" w:rsidRDefault="00022B19"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037" w:type="dxa"/>
          </w:tcPr>
          <w:p w:rsidR="00022B19" w:rsidRDefault="00022B19" w:rsidP="008F6AC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8F6AC7" w:rsidRDefault="008F6AC7" w:rsidP="00BD02C9">
      <w:pPr>
        <w:rPr>
          <w:b/>
        </w:rPr>
      </w:pPr>
    </w:p>
    <w:p w:rsidR="008F6AC7" w:rsidRDefault="008F6AC7" w:rsidP="00BD02C9">
      <w:pPr>
        <w:rPr>
          <w:b/>
        </w:rPr>
      </w:pPr>
    </w:p>
    <w:tbl>
      <w:tblPr>
        <w:tblStyle w:val="Tabellrutnt1"/>
        <w:tblW w:w="9542" w:type="dxa"/>
        <w:tblLook w:val="04A0" w:firstRow="1" w:lastRow="0" w:firstColumn="1" w:lastColumn="0" w:noHBand="0" w:noVBand="1"/>
      </w:tblPr>
      <w:tblGrid>
        <w:gridCol w:w="1877"/>
        <w:gridCol w:w="3737"/>
        <w:gridCol w:w="1891"/>
        <w:gridCol w:w="2037"/>
      </w:tblGrid>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AVSNITT 3</w:t>
            </w:r>
          </w:p>
        </w:tc>
        <w:tc>
          <w:tcPr>
            <w:tcW w:w="373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BESKRIVNING AV TRANSAKTIONEN</w:t>
            </w:r>
          </w:p>
        </w:tc>
        <w:tc>
          <w:tcPr>
            <w:tcW w:w="1891" w:type="dxa"/>
          </w:tcPr>
          <w:p w:rsidR="009B49CE" w:rsidRDefault="009B49CE" w:rsidP="009B49CE">
            <w:pPr>
              <w:rPr>
                <w:b/>
              </w:rPr>
            </w:pPr>
            <w:r>
              <w:rPr>
                <w:b/>
              </w:rPr>
              <w:t>Sidor i undantags-</w:t>
            </w:r>
          </w:p>
          <w:p w:rsidR="00FE3AC8" w:rsidRPr="00FE3AC8" w:rsidRDefault="009B49CE" w:rsidP="009B49CE">
            <w:pPr>
              <w:rPr>
                <w:rFonts w:ascii="Times New Roman" w:eastAsia="Times New Roman" w:hAnsi="Times New Roman" w:cs="Times New Roman"/>
                <w:b/>
              </w:rPr>
            </w:pPr>
            <w:r>
              <w:rPr>
                <w:b/>
              </w:rPr>
              <w:t>dokument</w:t>
            </w:r>
          </w:p>
        </w:tc>
        <w:tc>
          <w:tcPr>
            <w:tcW w:w="203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Bolagets kommentarer</w:t>
            </w:r>
          </w:p>
          <w:p w:rsidR="00FE3AC8" w:rsidRPr="00FE3AC8" w:rsidRDefault="00FE3AC8" w:rsidP="00FE3AC8">
            <w:pPr>
              <w:rPr>
                <w:rFonts w:ascii="Times New Roman" w:eastAsia="Times New Roman" w:hAnsi="Times New Roman" w:cs="Times New Roman"/>
              </w:rPr>
            </w:pPr>
          </w:p>
        </w:tc>
      </w:tr>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Punkt 3.1</w:t>
            </w:r>
          </w:p>
        </w:tc>
        <w:tc>
          <w:tcPr>
            <w:tcW w:w="7665" w:type="dxa"/>
            <w:gridSpan w:val="3"/>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Förväntningar och mål med transaktionen</w:t>
            </w:r>
          </w:p>
          <w:p w:rsidR="00FE3AC8" w:rsidRPr="00FE3AC8" w:rsidRDefault="00FE3AC8" w:rsidP="00FE3AC8">
            <w:pPr>
              <w:rPr>
                <w:rFonts w:ascii="Times New Roman" w:eastAsia="Times New Roman" w:hAnsi="Times New Roman" w:cs="Times New Roman"/>
                <w:b/>
              </w:rPr>
            </w:pPr>
          </w:p>
        </w:tc>
      </w:tr>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Punkt 3.1.1</w:t>
            </w:r>
          </w:p>
        </w:tc>
        <w:tc>
          <w:tcPr>
            <w:tcW w:w="37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Transaktionens syfte för emittenten och aktieägarna.</w:t>
            </w:r>
          </w:p>
          <w:p w:rsidR="00FE3AC8" w:rsidRPr="00FE3AC8" w:rsidRDefault="00FE3AC8" w:rsidP="00FE3AC8">
            <w:pPr>
              <w:rPr>
                <w:rFonts w:ascii="Times New Roman" w:eastAsia="Times New Roman" w:hAnsi="Times New Roman" w:cs="Times New Roman"/>
                <w:b/>
              </w:rPr>
            </w:pPr>
          </w:p>
        </w:tc>
        <w:tc>
          <w:tcPr>
            <w:tcW w:w="1891"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c>
          <w:tcPr>
            <w:tcW w:w="203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r>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Punkt 3.1.2</w:t>
            </w:r>
          </w:p>
        </w:tc>
        <w:tc>
          <w:tcPr>
            <w:tcW w:w="37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Transaktionens syfte för målbolaget, företaget som förvärvas eller företaget som delas och dess aktieägare.</w:t>
            </w:r>
          </w:p>
          <w:p w:rsidR="00FE3AC8" w:rsidRPr="00FE3AC8" w:rsidRDefault="00FE3AC8" w:rsidP="00FE3AC8">
            <w:pPr>
              <w:rPr>
                <w:rFonts w:ascii="Times New Roman" w:eastAsia="Times New Roman" w:hAnsi="Times New Roman" w:cs="Times New Roman"/>
              </w:rPr>
            </w:pPr>
          </w:p>
        </w:tc>
        <w:tc>
          <w:tcPr>
            <w:tcW w:w="1891"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c>
          <w:tcPr>
            <w:tcW w:w="20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r>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Punkt 3.1.3</w:t>
            </w:r>
          </w:p>
        </w:tc>
        <w:tc>
          <w:tcPr>
            <w:tcW w:w="37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Beskrivning av fördelar som förväntas härröra från transaktionen.</w:t>
            </w:r>
          </w:p>
          <w:p w:rsidR="00FE3AC8" w:rsidRPr="00FE3AC8" w:rsidRDefault="00FE3AC8" w:rsidP="00FE3AC8">
            <w:pPr>
              <w:rPr>
                <w:rFonts w:ascii="Times New Roman" w:eastAsia="Times New Roman" w:hAnsi="Times New Roman" w:cs="Times New Roman"/>
              </w:rPr>
            </w:pPr>
          </w:p>
        </w:tc>
        <w:tc>
          <w:tcPr>
            <w:tcW w:w="1891"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c>
          <w:tcPr>
            <w:tcW w:w="20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r>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lastRenderedPageBreak/>
              <w:t>Punkt 3.2</w:t>
            </w:r>
          </w:p>
        </w:tc>
        <w:tc>
          <w:tcPr>
            <w:tcW w:w="7665" w:type="dxa"/>
            <w:gridSpan w:val="3"/>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Villkor för transaktionen</w:t>
            </w:r>
          </w:p>
          <w:p w:rsidR="00FE3AC8" w:rsidRPr="00FE3AC8" w:rsidRDefault="00FE3AC8" w:rsidP="00FE3AC8">
            <w:pPr>
              <w:rPr>
                <w:rFonts w:ascii="Times New Roman" w:eastAsia="Times New Roman" w:hAnsi="Times New Roman" w:cs="Times New Roman"/>
              </w:rPr>
            </w:pPr>
          </w:p>
        </w:tc>
      </w:tr>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Punkt 3.2.1</w:t>
            </w:r>
          </w:p>
          <w:p w:rsidR="00FE3AC8" w:rsidRPr="00FE3AC8" w:rsidRDefault="00FE3AC8" w:rsidP="00FE3AC8">
            <w:pPr>
              <w:rPr>
                <w:rFonts w:ascii="Times New Roman" w:eastAsia="Times New Roman" w:hAnsi="Times New Roman" w:cs="Times New Roman"/>
                <w:b/>
              </w:rPr>
            </w:pPr>
          </w:p>
        </w:tc>
        <w:tc>
          <w:tcPr>
            <w:tcW w:w="37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Information om förfaranden och villkor för transaktionen och gällande lag för avtalet som verkställer transaktionen.</w:t>
            </w:r>
          </w:p>
          <w:p w:rsidR="00FE3AC8" w:rsidRPr="00FE3AC8" w:rsidRDefault="00FE3AC8" w:rsidP="00FE3AC8">
            <w:pPr>
              <w:rPr>
                <w:rFonts w:ascii="Times New Roman" w:eastAsia="Times New Roman" w:hAnsi="Times New Roman" w:cs="Times New Roman"/>
              </w:rPr>
            </w:pPr>
          </w:p>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I händelse av uppköpserbjudanden genom ett erbjudande om utbyte av värdepapper, en fusion eller en delning ska undantagsdokumentet innehålla den information som krävs enligt artikel 6.3 i direktiv 2004/25/EG eller en hänvisning till var denna information kan granskas.</w:t>
            </w:r>
          </w:p>
          <w:p w:rsidR="00FE3AC8" w:rsidRPr="00FE3AC8" w:rsidRDefault="00FE3AC8" w:rsidP="00FE3AC8">
            <w:pPr>
              <w:rPr>
                <w:rFonts w:ascii="Times New Roman" w:eastAsia="Times New Roman" w:hAnsi="Times New Roman" w:cs="Times New Roman"/>
              </w:rPr>
            </w:pPr>
          </w:p>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 xml:space="preserve">I händelse av fusion ska undantagsdokumentet innehålla den information som krävs enligt artikel 91.2 eller artikel 122 i direktiv (EU) 2017/1132, beroende på typen av fusion, eller en hänvisning till var denna information kan granskas. </w:t>
            </w:r>
          </w:p>
          <w:p w:rsidR="00FE3AC8" w:rsidRPr="00FE3AC8" w:rsidRDefault="00FE3AC8" w:rsidP="00FE3AC8">
            <w:pPr>
              <w:rPr>
                <w:rFonts w:ascii="Times New Roman" w:eastAsia="Times New Roman" w:hAnsi="Times New Roman" w:cs="Times New Roman"/>
              </w:rPr>
            </w:pPr>
          </w:p>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I fall med delning ska undantagsdokumentet innehålla den information som krävs enligt artikel 137.2 i direktiv (EU) 2017/1132 eller en hänvisning till var denna information kan granskas.</w:t>
            </w:r>
          </w:p>
          <w:p w:rsidR="00FE3AC8" w:rsidRPr="00FE3AC8" w:rsidRDefault="00FE3AC8" w:rsidP="00FE3AC8">
            <w:pPr>
              <w:rPr>
                <w:rFonts w:ascii="Times New Roman" w:eastAsia="Times New Roman" w:hAnsi="Times New Roman" w:cs="Times New Roman"/>
              </w:rPr>
            </w:pPr>
          </w:p>
        </w:tc>
        <w:tc>
          <w:tcPr>
            <w:tcW w:w="1891"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c>
          <w:tcPr>
            <w:tcW w:w="20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r>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Punkt 3.2.2</w:t>
            </w:r>
          </w:p>
          <w:p w:rsidR="00FE3AC8" w:rsidRPr="00FE3AC8" w:rsidRDefault="00FE3AC8" w:rsidP="00FE3AC8">
            <w:pPr>
              <w:rPr>
                <w:rFonts w:ascii="Times New Roman" w:eastAsia="Times New Roman" w:hAnsi="Times New Roman" w:cs="Times New Roman"/>
                <w:b/>
              </w:rPr>
            </w:pPr>
          </w:p>
        </w:tc>
        <w:tc>
          <w:tcPr>
            <w:tcW w:w="37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I förekommande fall, alla villkor som styr transaktionens effektivitet, inklusive eventuella garantier.</w:t>
            </w:r>
          </w:p>
          <w:p w:rsidR="00FE3AC8" w:rsidRPr="00FE3AC8" w:rsidRDefault="00FE3AC8" w:rsidP="00FE3AC8">
            <w:pPr>
              <w:rPr>
                <w:rFonts w:ascii="Times New Roman" w:eastAsia="Times New Roman" w:hAnsi="Times New Roman" w:cs="Times New Roman"/>
              </w:rPr>
            </w:pPr>
          </w:p>
        </w:tc>
        <w:tc>
          <w:tcPr>
            <w:tcW w:w="1891"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c>
          <w:tcPr>
            <w:tcW w:w="20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r>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Punkt 3.2.3</w:t>
            </w:r>
          </w:p>
          <w:p w:rsidR="00FE3AC8" w:rsidRPr="00FE3AC8" w:rsidRDefault="00FE3AC8" w:rsidP="00FE3AC8">
            <w:pPr>
              <w:rPr>
                <w:rFonts w:ascii="Times New Roman" w:eastAsia="Times New Roman" w:hAnsi="Times New Roman" w:cs="Times New Roman"/>
                <w:b/>
              </w:rPr>
            </w:pPr>
          </w:p>
        </w:tc>
        <w:tc>
          <w:tcPr>
            <w:tcW w:w="37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I förekommande fall, all information om delningsavgifter eller andra straffavgifter som kan åläggas om transaktionen inte slutförs.</w:t>
            </w:r>
          </w:p>
          <w:p w:rsidR="00FE3AC8" w:rsidRPr="00FE3AC8" w:rsidRDefault="00FE3AC8" w:rsidP="00FE3AC8">
            <w:pPr>
              <w:rPr>
                <w:rFonts w:ascii="Times New Roman" w:eastAsia="Times New Roman" w:hAnsi="Times New Roman" w:cs="Times New Roman"/>
              </w:rPr>
            </w:pPr>
          </w:p>
        </w:tc>
        <w:tc>
          <w:tcPr>
            <w:tcW w:w="1891"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c>
          <w:tcPr>
            <w:tcW w:w="20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r>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Punkt 3.2.4</w:t>
            </w:r>
          </w:p>
          <w:p w:rsidR="00FE3AC8" w:rsidRPr="00FE3AC8" w:rsidRDefault="00FE3AC8" w:rsidP="00FE3AC8">
            <w:pPr>
              <w:rPr>
                <w:rFonts w:ascii="Times New Roman" w:eastAsia="Times New Roman" w:hAnsi="Times New Roman" w:cs="Times New Roman"/>
                <w:b/>
              </w:rPr>
            </w:pPr>
          </w:p>
        </w:tc>
        <w:tc>
          <w:tcPr>
            <w:tcW w:w="37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När transaktionen är föremål för anmälningar och/eller begäranden om auktorisering ska en beskrivning av dessa anmälningar och/eller begäranden om auktorisering beskrivas.</w:t>
            </w:r>
          </w:p>
          <w:p w:rsidR="00FE3AC8" w:rsidRPr="00FE3AC8" w:rsidRDefault="00FE3AC8" w:rsidP="00FE3AC8">
            <w:pPr>
              <w:rPr>
                <w:rFonts w:ascii="Times New Roman" w:eastAsia="Times New Roman" w:hAnsi="Times New Roman" w:cs="Times New Roman"/>
              </w:rPr>
            </w:pPr>
          </w:p>
        </w:tc>
        <w:tc>
          <w:tcPr>
            <w:tcW w:w="1891"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c>
          <w:tcPr>
            <w:tcW w:w="20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r>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Punkt 3.2.5</w:t>
            </w:r>
          </w:p>
          <w:p w:rsidR="00FE3AC8" w:rsidRPr="00FE3AC8" w:rsidRDefault="00FE3AC8" w:rsidP="00FE3AC8">
            <w:pPr>
              <w:rPr>
                <w:rFonts w:ascii="Times New Roman" w:eastAsia="Times New Roman" w:hAnsi="Times New Roman" w:cs="Times New Roman"/>
                <w:b/>
              </w:rPr>
            </w:pPr>
          </w:p>
        </w:tc>
        <w:tc>
          <w:tcPr>
            <w:tcW w:w="37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I förekommande fall, all nödvändig information för att till fullo förstå transaktionens finansieringsstruktur.</w:t>
            </w:r>
          </w:p>
          <w:p w:rsidR="00FE3AC8" w:rsidRPr="00FE3AC8" w:rsidRDefault="00FE3AC8" w:rsidP="00FE3AC8">
            <w:pPr>
              <w:rPr>
                <w:rFonts w:ascii="Times New Roman" w:eastAsia="Times New Roman" w:hAnsi="Times New Roman" w:cs="Times New Roman"/>
              </w:rPr>
            </w:pPr>
          </w:p>
        </w:tc>
        <w:tc>
          <w:tcPr>
            <w:tcW w:w="1891"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c>
          <w:tcPr>
            <w:tcW w:w="20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r>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Punkt 3.2.6</w:t>
            </w:r>
          </w:p>
          <w:p w:rsidR="00FE3AC8" w:rsidRPr="00FE3AC8" w:rsidRDefault="00FE3AC8" w:rsidP="00FE3AC8">
            <w:pPr>
              <w:rPr>
                <w:rFonts w:ascii="Times New Roman" w:eastAsia="Times New Roman" w:hAnsi="Times New Roman" w:cs="Times New Roman"/>
                <w:b/>
              </w:rPr>
            </w:pPr>
          </w:p>
        </w:tc>
        <w:tc>
          <w:tcPr>
            <w:tcW w:w="37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Tidsplan för transaktionen.</w:t>
            </w:r>
          </w:p>
        </w:tc>
        <w:tc>
          <w:tcPr>
            <w:tcW w:w="1891"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c>
          <w:tcPr>
            <w:tcW w:w="20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r>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Punkt 3.3</w:t>
            </w:r>
          </w:p>
          <w:p w:rsidR="00FE3AC8" w:rsidRPr="00FE3AC8" w:rsidRDefault="00FE3AC8" w:rsidP="00FE3AC8">
            <w:pPr>
              <w:rPr>
                <w:rFonts w:ascii="Times New Roman" w:eastAsia="Times New Roman" w:hAnsi="Times New Roman" w:cs="Times New Roman"/>
                <w:b/>
              </w:rPr>
            </w:pPr>
          </w:p>
        </w:tc>
        <w:tc>
          <w:tcPr>
            <w:tcW w:w="373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 xml:space="preserve">Riskfaktorer </w:t>
            </w:r>
          </w:p>
          <w:p w:rsidR="00FE3AC8" w:rsidRPr="00FE3AC8" w:rsidRDefault="00FE3AC8" w:rsidP="00FE3AC8">
            <w:pPr>
              <w:rPr>
                <w:rFonts w:ascii="Times New Roman" w:eastAsia="Times New Roman" w:hAnsi="Times New Roman" w:cs="Times New Roman"/>
              </w:rPr>
            </w:pPr>
          </w:p>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 xml:space="preserve">En beskrivning, i ett begränsat antal kategorier, av de betydande risker som är specifika för transaktionen i ett avsnitt med rubriken ”Riskfaktorer avseende transaktionen”. </w:t>
            </w:r>
          </w:p>
          <w:p w:rsidR="00FE3AC8" w:rsidRPr="00FE3AC8" w:rsidRDefault="00FE3AC8" w:rsidP="00FE3AC8">
            <w:pPr>
              <w:rPr>
                <w:rFonts w:ascii="Times New Roman" w:eastAsia="Times New Roman" w:hAnsi="Times New Roman" w:cs="Times New Roman"/>
              </w:rPr>
            </w:pPr>
          </w:p>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lastRenderedPageBreak/>
              <w:t xml:space="preserve">I varje kategori ska de mest betydande riskfaktorerna för emittenten, med hänsyn till negativa konsekvenser för emittenten och sannolikheten för att de inträffar, nämnas först. </w:t>
            </w:r>
          </w:p>
          <w:p w:rsidR="00FE3AC8" w:rsidRPr="00FE3AC8" w:rsidRDefault="00FE3AC8" w:rsidP="00FE3AC8">
            <w:pPr>
              <w:rPr>
                <w:rFonts w:ascii="Times New Roman" w:eastAsia="Times New Roman" w:hAnsi="Times New Roman" w:cs="Times New Roman"/>
              </w:rPr>
            </w:pPr>
          </w:p>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Riskfaktorerna ska bekräftas av innehållet i undantagsdokumentet.</w:t>
            </w:r>
          </w:p>
        </w:tc>
        <w:tc>
          <w:tcPr>
            <w:tcW w:w="1891"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lastRenderedPageBreak/>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c>
          <w:tcPr>
            <w:tcW w:w="20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r>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Punkt 3.4</w:t>
            </w:r>
          </w:p>
        </w:tc>
        <w:tc>
          <w:tcPr>
            <w:tcW w:w="373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 xml:space="preserve">Intressekonflikter </w:t>
            </w:r>
          </w:p>
          <w:p w:rsidR="00FE3AC8" w:rsidRPr="00FE3AC8" w:rsidRDefault="00FE3AC8" w:rsidP="00FE3AC8">
            <w:pPr>
              <w:rPr>
                <w:rFonts w:ascii="Times New Roman" w:eastAsia="Times New Roman" w:hAnsi="Times New Roman" w:cs="Times New Roman"/>
              </w:rPr>
            </w:pPr>
          </w:p>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Information om eventuella intressekonflikter som emittenten, målbolaget, företaget som förvärvas eller företaget som delas eller någon av dess aktieägare kan ha avseende transaktionen.</w:t>
            </w:r>
          </w:p>
          <w:p w:rsidR="00FE3AC8" w:rsidRPr="00FE3AC8" w:rsidRDefault="00FE3AC8" w:rsidP="00FE3AC8">
            <w:pPr>
              <w:rPr>
                <w:rFonts w:ascii="Times New Roman" w:eastAsia="Times New Roman" w:hAnsi="Times New Roman" w:cs="Times New Roman"/>
                <w:b/>
              </w:rPr>
            </w:pPr>
          </w:p>
        </w:tc>
        <w:tc>
          <w:tcPr>
            <w:tcW w:w="1891"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c>
          <w:tcPr>
            <w:tcW w:w="20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r>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Punkt 3.5</w:t>
            </w:r>
          </w:p>
        </w:tc>
        <w:tc>
          <w:tcPr>
            <w:tcW w:w="7665" w:type="dxa"/>
            <w:gridSpan w:val="3"/>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Anbudsbelopp</w:t>
            </w:r>
          </w:p>
          <w:p w:rsidR="00FE3AC8" w:rsidRPr="00FE3AC8" w:rsidRDefault="00FE3AC8" w:rsidP="00FE3AC8">
            <w:pPr>
              <w:rPr>
                <w:rFonts w:ascii="Times New Roman" w:eastAsia="Times New Roman" w:hAnsi="Times New Roman" w:cs="Times New Roman"/>
              </w:rPr>
            </w:pPr>
          </w:p>
        </w:tc>
      </w:tr>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Punkt 3.5.1</w:t>
            </w:r>
          </w:p>
          <w:p w:rsidR="00FE3AC8" w:rsidRPr="00FE3AC8" w:rsidRDefault="00FE3AC8" w:rsidP="00FE3AC8">
            <w:pPr>
              <w:rPr>
                <w:rFonts w:ascii="Times New Roman" w:eastAsia="Times New Roman" w:hAnsi="Times New Roman" w:cs="Times New Roman"/>
                <w:b/>
              </w:rPr>
            </w:pPr>
          </w:p>
        </w:tc>
        <w:tc>
          <w:tcPr>
            <w:tcW w:w="37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Mottagare av anbud eller tilldelning av aktierelaterade värdepapper som är anslutna till transaktionen.</w:t>
            </w:r>
          </w:p>
          <w:p w:rsidR="00FE3AC8" w:rsidRPr="00FE3AC8" w:rsidRDefault="00FE3AC8" w:rsidP="00FE3AC8">
            <w:pPr>
              <w:rPr>
                <w:rFonts w:ascii="Times New Roman" w:eastAsia="Times New Roman" w:hAnsi="Times New Roman" w:cs="Times New Roman"/>
                <w:b/>
              </w:rPr>
            </w:pPr>
          </w:p>
        </w:tc>
        <w:tc>
          <w:tcPr>
            <w:tcW w:w="1891"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c>
          <w:tcPr>
            <w:tcW w:w="20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r>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Punkt 3.5.2</w:t>
            </w:r>
          </w:p>
        </w:tc>
        <w:tc>
          <w:tcPr>
            <w:tcW w:w="37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Det belopp som erbjuds för varje aktierelaterat värdepapper eller klass av aktierelaterade värdepapper, och i synnerhet utbyteskursen samt storleken på eventuella kontantbetalningar</w:t>
            </w:r>
            <w:r w:rsidR="008E2552">
              <w:rPr>
                <w:rFonts w:ascii="Times New Roman" w:eastAsia="Times New Roman" w:hAnsi="Times New Roman" w:cs="Times New Roman"/>
              </w:rPr>
              <w:t>.</w:t>
            </w:r>
          </w:p>
          <w:p w:rsidR="00FE3AC8" w:rsidRPr="00FE3AC8" w:rsidRDefault="00FE3AC8" w:rsidP="00FE3AC8">
            <w:pPr>
              <w:rPr>
                <w:rFonts w:ascii="Times New Roman" w:eastAsia="Times New Roman" w:hAnsi="Times New Roman" w:cs="Times New Roman"/>
                <w:b/>
              </w:rPr>
            </w:pPr>
          </w:p>
        </w:tc>
        <w:tc>
          <w:tcPr>
            <w:tcW w:w="1891"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c>
          <w:tcPr>
            <w:tcW w:w="20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r>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Punkt 3.5.3</w:t>
            </w:r>
          </w:p>
        </w:tc>
        <w:tc>
          <w:tcPr>
            <w:tcW w:w="37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Information om eventuella villkorade överenskommelser som överenskommits inom ramen för transaktionen, inklusive, i händelse av en fusion, alla skyldigheter för det förvärvande företaget att överföra ytterligare värdepapper eller kontanter till tidigare ägare av företaget som förvärvas om framtida händelser inträffar eller villkor är uppfyllda.</w:t>
            </w:r>
          </w:p>
          <w:p w:rsidR="00FE3AC8" w:rsidRPr="00FE3AC8" w:rsidRDefault="00FE3AC8" w:rsidP="00FE3AC8">
            <w:pPr>
              <w:rPr>
                <w:rFonts w:ascii="Times New Roman" w:eastAsia="Times New Roman" w:hAnsi="Times New Roman" w:cs="Times New Roman"/>
                <w:b/>
              </w:rPr>
            </w:pPr>
          </w:p>
        </w:tc>
        <w:tc>
          <w:tcPr>
            <w:tcW w:w="1891"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c>
          <w:tcPr>
            <w:tcW w:w="20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r>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Punkt 3.5.4</w:t>
            </w:r>
          </w:p>
        </w:tc>
        <w:tc>
          <w:tcPr>
            <w:tcW w:w="37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De värderingsmetoder och antaganden som använts för att avgöra beloppet som erbjuds för varje aktierelaterat värdepapper eller klass av aktierelaterade värdepapper, och i synnerhet avseende utbyteskursen.</w:t>
            </w:r>
          </w:p>
          <w:p w:rsidR="00FE3AC8" w:rsidRPr="00FE3AC8" w:rsidRDefault="00FE3AC8" w:rsidP="00FE3AC8">
            <w:pPr>
              <w:rPr>
                <w:rFonts w:ascii="Times New Roman" w:eastAsia="Times New Roman" w:hAnsi="Times New Roman" w:cs="Times New Roman"/>
                <w:b/>
              </w:rPr>
            </w:pPr>
          </w:p>
        </w:tc>
        <w:tc>
          <w:tcPr>
            <w:tcW w:w="1891"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c>
          <w:tcPr>
            <w:tcW w:w="20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r>
      <w:tr w:rsidR="00FE3AC8" w:rsidRPr="00FE3AC8" w:rsidTr="00F87C38">
        <w:trPr>
          <w:trHeight w:val="296"/>
        </w:trPr>
        <w:tc>
          <w:tcPr>
            <w:tcW w:w="1877" w:type="dxa"/>
          </w:tcPr>
          <w:p w:rsidR="00FE3AC8" w:rsidRPr="00FE3AC8" w:rsidRDefault="00FE3AC8" w:rsidP="00FE3AC8">
            <w:pPr>
              <w:rPr>
                <w:rFonts w:ascii="Times New Roman" w:eastAsia="Times New Roman" w:hAnsi="Times New Roman" w:cs="Times New Roman"/>
                <w:b/>
              </w:rPr>
            </w:pPr>
            <w:r w:rsidRPr="00FE3AC8">
              <w:rPr>
                <w:rFonts w:ascii="Times New Roman" w:eastAsia="Times New Roman" w:hAnsi="Times New Roman" w:cs="Times New Roman"/>
                <w:b/>
              </w:rPr>
              <w:t>Punkt 3.5.5</w:t>
            </w:r>
          </w:p>
        </w:tc>
        <w:tc>
          <w:tcPr>
            <w:tcW w:w="37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 xml:space="preserve">Indikation om utvärderingar eller rapporter som utarbetats av oberoende experter och information där dessa bedömningar eller rapporter kan granskas. </w:t>
            </w:r>
          </w:p>
          <w:p w:rsidR="00FE3AC8" w:rsidRPr="00FE3AC8" w:rsidRDefault="00FE3AC8" w:rsidP="00FE3AC8">
            <w:pPr>
              <w:rPr>
                <w:rFonts w:ascii="Times New Roman" w:eastAsia="Times New Roman" w:hAnsi="Times New Roman" w:cs="Times New Roman"/>
              </w:rPr>
            </w:pPr>
          </w:p>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t xml:space="preserve">I händelse av fusion ska undantagsdokumentet innehålla den information som krävs enligt artikel 96 eller artikel 125 i direktiv (EU) 2017/1132, beroende på typen av fusion, eller en hänvisning till var denna information kan granskas. </w:t>
            </w:r>
          </w:p>
          <w:p w:rsidR="00FE3AC8" w:rsidRPr="00FE3AC8" w:rsidRDefault="00FE3AC8" w:rsidP="00FE3AC8">
            <w:pPr>
              <w:rPr>
                <w:rFonts w:ascii="Times New Roman" w:eastAsia="Times New Roman" w:hAnsi="Times New Roman" w:cs="Times New Roman"/>
              </w:rPr>
            </w:pPr>
          </w:p>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lastRenderedPageBreak/>
              <w:t>I händelse av delning ska undantagsdokumentet innehålla den information som krävs enligt artikel 142 i direktiv (EU) 2017/1132 eller en hänvisning till var denna information kan granskas.</w:t>
            </w:r>
          </w:p>
          <w:p w:rsidR="00FE3AC8" w:rsidRPr="00FE3AC8" w:rsidRDefault="00FE3AC8" w:rsidP="00FE3AC8">
            <w:pPr>
              <w:rPr>
                <w:rFonts w:ascii="Times New Roman" w:eastAsia="Times New Roman" w:hAnsi="Times New Roman" w:cs="Times New Roman"/>
                <w:b/>
              </w:rPr>
            </w:pPr>
          </w:p>
        </w:tc>
        <w:tc>
          <w:tcPr>
            <w:tcW w:w="1891"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lastRenderedPageBreak/>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c>
          <w:tcPr>
            <w:tcW w:w="2037" w:type="dxa"/>
          </w:tcPr>
          <w:p w:rsidR="00FE3AC8" w:rsidRPr="00FE3AC8" w:rsidRDefault="00FE3AC8" w:rsidP="00FE3AC8">
            <w:pPr>
              <w:rPr>
                <w:rFonts w:ascii="Times New Roman" w:eastAsia="Times New Roman" w:hAnsi="Times New Roman" w:cs="Times New Roman"/>
              </w:rPr>
            </w:pPr>
            <w:r w:rsidRPr="00FE3AC8">
              <w:rPr>
                <w:rFonts w:ascii="Times New Roman" w:eastAsia="Times New Roman" w:hAnsi="Times New Roman" w:cs="Times New Roman"/>
              </w:rPr>
              <w:fldChar w:fldCharType="begin" w:fldLock="1">
                <w:ffData>
                  <w:name w:val=""/>
                  <w:enabled/>
                  <w:calcOnExit w:val="0"/>
                  <w:textInput/>
                </w:ffData>
              </w:fldChar>
            </w:r>
            <w:r w:rsidRPr="00FE3AC8">
              <w:rPr>
                <w:rFonts w:ascii="Times New Roman" w:eastAsia="Times New Roman" w:hAnsi="Times New Roman" w:cs="Times New Roman"/>
              </w:rPr>
              <w:instrText xml:space="preserve"> FORMTEXT </w:instrText>
            </w:r>
            <w:r w:rsidRPr="00FE3AC8">
              <w:rPr>
                <w:rFonts w:ascii="Times New Roman" w:eastAsia="Times New Roman" w:hAnsi="Times New Roman" w:cs="Times New Roman"/>
              </w:rPr>
            </w:r>
            <w:r w:rsidRPr="00FE3AC8">
              <w:rPr>
                <w:rFonts w:ascii="Times New Roman" w:eastAsia="Times New Roman" w:hAnsi="Times New Roman" w:cs="Times New Roman"/>
              </w:rPr>
              <w:fldChar w:fldCharType="separate"/>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t> </w:t>
            </w:r>
            <w:r w:rsidRPr="00FE3AC8">
              <w:rPr>
                <w:rFonts w:ascii="Times New Roman" w:eastAsia="Times New Roman" w:hAnsi="Times New Roman" w:cs="Times New Roman"/>
              </w:rPr>
              <w:fldChar w:fldCharType="end"/>
            </w:r>
          </w:p>
        </w:tc>
      </w:tr>
    </w:tbl>
    <w:p w:rsidR="00FE3AC8" w:rsidRPr="00FE3AC8" w:rsidRDefault="00FE3AC8" w:rsidP="00FE3AC8">
      <w:pPr>
        <w:spacing w:after="160" w:line="259" w:lineRule="auto"/>
        <w:rPr>
          <w:rFonts w:ascii="Calibri" w:eastAsia="Calibri" w:hAnsi="Calibri" w:cs="Times New Roman"/>
          <w:sz w:val="22"/>
          <w:szCs w:val="22"/>
        </w:rPr>
      </w:pPr>
    </w:p>
    <w:tbl>
      <w:tblPr>
        <w:tblStyle w:val="Tabellrutnt2"/>
        <w:tblW w:w="9542" w:type="dxa"/>
        <w:tblLook w:val="04A0" w:firstRow="1" w:lastRow="0" w:firstColumn="1" w:lastColumn="0" w:noHBand="0" w:noVBand="1"/>
      </w:tblPr>
      <w:tblGrid>
        <w:gridCol w:w="1877"/>
        <w:gridCol w:w="3737"/>
        <w:gridCol w:w="1891"/>
        <w:gridCol w:w="2037"/>
      </w:tblGrid>
      <w:tr w:rsidR="00865046" w:rsidRPr="00865046" w:rsidTr="00F87C38">
        <w:trPr>
          <w:trHeight w:val="296"/>
        </w:trPr>
        <w:tc>
          <w:tcPr>
            <w:tcW w:w="1877" w:type="dxa"/>
          </w:tcPr>
          <w:p w:rsidR="00865046" w:rsidRPr="00865046" w:rsidRDefault="00865046" w:rsidP="00865046">
            <w:pPr>
              <w:rPr>
                <w:rFonts w:ascii="Times New Roman" w:eastAsia="Times New Roman" w:hAnsi="Times New Roman" w:cs="Times New Roman"/>
                <w:b/>
              </w:rPr>
            </w:pPr>
            <w:r>
              <w:rPr>
                <w:rFonts w:ascii="Times New Roman" w:eastAsia="Times New Roman" w:hAnsi="Times New Roman" w:cs="Times New Roman"/>
                <w:b/>
              </w:rPr>
              <w:t>AVSNITT 4</w:t>
            </w:r>
          </w:p>
        </w:tc>
        <w:tc>
          <w:tcPr>
            <w:tcW w:w="3737" w:type="dxa"/>
          </w:tcPr>
          <w:p w:rsidR="00865046" w:rsidRPr="00915135" w:rsidRDefault="00865046" w:rsidP="00865046">
            <w:pPr>
              <w:rPr>
                <w:b/>
              </w:rPr>
            </w:pPr>
            <w:r w:rsidRPr="00915135">
              <w:rPr>
                <w:b/>
              </w:rPr>
              <w:t>AKTIERELATERADE VÄRDEPAPPER SOM ERBJUDS TILL ALLMÄNHETEN ELLER TAS UPP TILL HANDEL PÅ EN REGLERAD MARKNAD FÖR TRANSAKTIONENS SYFTE</w:t>
            </w:r>
          </w:p>
          <w:p w:rsidR="00865046" w:rsidRPr="00865046" w:rsidRDefault="00865046" w:rsidP="00865046">
            <w:pPr>
              <w:rPr>
                <w:rFonts w:ascii="Times New Roman" w:eastAsia="Times New Roman" w:hAnsi="Times New Roman" w:cs="Times New Roman"/>
                <w:b/>
              </w:rPr>
            </w:pPr>
          </w:p>
        </w:tc>
        <w:tc>
          <w:tcPr>
            <w:tcW w:w="1891" w:type="dxa"/>
          </w:tcPr>
          <w:p w:rsidR="009B49CE" w:rsidRDefault="009B49CE" w:rsidP="009B49CE">
            <w:pPr>
              <w:rPr>
                <w:b/>
              </w:rPr>
            </w:pPr>
            <w:r>
              <w:rPr>
                <w:b/>
              </w:rPr>
              <w:t>Sidor i undantags-</w:t>
            </w:r>
          </w:p>
          <w:p w:rsidR="00865046" w:rsidRPr="00865046" w:rsidRDefault="009B49CE" w:rsidP="009B49CE">
            <w:pPr>
              <w:rPr>
                <w:rFonts w:ascii="Times New Roman" w:eastAsia="Times New Roman" w:hAnsi="Times New Roman" w:cs="Times New Roman"/>
                <w:b/>
              </w:rPr>
            </w:pPr>
            <w:r>
              <w:rPr>
                <w:b/>
              </w:rPr>
              <w:t>dokument</w:t>
            </w:r>
          </w:p>
        </w:tc>
        <w:tc>
          <w:tcPr>
            <w:tcW w:w="2037" w:type="dxa"/>
          </w:tcPr>
          <w:p w:rsidR="00865046" w:rsidRPr="00865046" w:rsidRDefault="00865046" w:rsidP="00865046">
            <w:pPr>
              <w:rPr>
                <w:rFonts w:ascii="Times New Roman" w:eastAsia="Times New Roman" w:hAnsi="Times New Roman" w:cs="Times New Roman"/>
                <w:b/>
              </w:rPr>
            </w:pPr>
            <w:r w:rsidRPr="00865046">
              <w:rPr>
                <w:rFonts w:ascii="Times New Roman" w:eastAsia="Times New Roman" w:hAnsi="Times New Roman" w:cs="Times New Roman"/>
                <w:b/>
              </w:rPr>
              <w:t>Bolagets kommentarer</w:t>
            </w:r>
          </w:p>
          <w:p w:rsidR="00865046" w:rsidRPr="00865046" w:rsidRDefault="00865046" w:rsidP="00865046">
            <w:pPr>
              <w:rPr>
                <w:rFonts w:ascii="Times New Roman" w:eastAsia="Times New Roman" w:hAnsi="Times New Roman" w:cs="Times New Roman"/>
              </w:rPr>
            </w:pPr>
          </w:p>
        </w:tc>
      </w:tr>
      <w:tr w:rsidR="00865046" w:rsidRPr="00865046" w:rsidTr="00F87C38">
        <w:trPr>
          <w:trHeight w:val="296"/>
        </w:trPr>
        <w:tc>
          <w:tcPr>
            <w:tcW w:w="9542" w:type="dxa"/>
            <w:gridSpan w:val="4"/>
          </w:tcPr>
          <w:p w:rsidR="00865046" w:rsidRPr="00915135" w:rsidRDefault="00865046" w:rsidP="00865046">
            <w:pPr>
              <w:rPr>
                <w:b/>
                <w:i/>
              </w:rPr>
            </w:pPr>
            <w:r w:rsidRPr="00915135">
              <w:rPr>
                <w:b/>
                <w:i/>
              </w:rPr>
              <w:t>För andra värdepapper än aktier ska informationen vara omfattande och inkludera nedanstående information om underliggande aktier.</w:t>
            </w:r>
          </w:p>
          <w:p w:rsidR="00865046" w:rsidRPr="00865046" w:rsidRDefault="00865046" w:rsidP="00865046">
            <w:pPr>
              <w:rPr>
                <w:rFonts w:ascii="Times New Roman" w:eastAsia="Times New Roman" w:hAnsi="Times New Roman" w:cs="Times New Roman"/>
                <w:b/>
              </w:rPr>
            </w:pPr>
          </w:p>
        </w:tc>
      </w:tr>
      <w:tr w:rsidR="00865046" w:rsidRPr="00865046" w:rsidTr="00F87C38">
        <w:trPr>
          <w:trHeight w:val="296"/>
        </w:trPr>
        <w:tc>
          <w:tcPr>
            <w:tcW w:w="1877" w:type="dxa"/>
          </w:tcPr>
          <w:p w:rsidR="00865046" w:rsidRPr="00865046" w:rsidRDefault="00865046" w:rsidP="00865046">
            <w:pPr>
              <w:rPr>
                <w:rFonts w:ascii="Times New Roman" w:eastAsia="Times New Roman" w:hAnsi="Times New Roman" w:cs="Times New Roman"/>
                <w:b/>
              </w:rPr>
            </w:pPr>
            <w:r w:rsidRPr="00865046">
              <w:rPr>
                <w:rFonts w:ascii="Times New Roman" w:eastAsia="Times New Roman" w:hAnsi="Times New Roman" w:cs="Times New Roman"/>
                <w:b/>
              </w:rPr>
              <w:t>P</w:t>
            </w:r>
            <w:r>
              <w:rPr>
                <w:rFonts w:ascii="Times New Roman" w:eastAsia="Times New Roman" w:hAnsi="Times New Roman" w:cs="Times New Roman"/>
                <w:b/>
              </w:rPr>
              <w:t>unkt 4.1</w:t>
            </w:r>
          </w:p>
        </w:tc>
        <w:tc>
          <w:tcPr>
            <w:tcW w:w="3737" w:type="dxa"/>
          </w:tcPr>
          <w:p w:rsidR="00865046" w:rsidRPr="00915135" w:rsidRDefault="00865046" w:rsidP="00865046">
            <w:pPr>
              <w:rPr>
                <w:b/>
              </w:rPr>
            </w:pPr>
            <w:r w:rsidRPr="00915135">
              <w:rPr>
                <w:b/>
              </w:rPr>
              <w:t xml:space="preserve">Riskfaktorer </w:t>
            </w:r>
          </w:p>
          <w:p w:rsidR="00865046" w:rsidRDefault="00865046" w:rsidP="00865046"/>
          <w:p w:rsidR="00865046" w:rsidRDefault="00865046" w:rsidP="00865046">
            <w:r>
              <w:t xml:space="preserve">En beskrivning av de väsentliga risker som är specifika för de värdepapper som erbjuds och/eller tas upp till handel, i ett avsnitt med rubriken ”Riskfaktorer som är relaterade till värdepapperen”. </w:t>
            </w:r>
          </w:p>
          <w:p w:rsidR="00865046" w:rsidRDefault="00865046" w:rsidP="00865046"/>
          <w:p w:rsidR="007F7E94" w:rsidRDefault="00865046" w:rsidP="00865046">
            <w:r>
              <w:t xml:space="preserve">För varje kategori ange först de mest väsentliga riskerna enligt den bedömning som görs av emittenten, erbjudaren eller den person som ansöker om upptagande till handel på en reglerad marknad, med beaktande av de negativa effekterna för emittenten och värdepapperen samt risken för att de förverkligas. </w:t>
            </w:r>
          </w:p>
          <w:p w:rsidR="007F7E94" w:rsidRDefault="007F7E94" w:rsidP="00865046"/>
          <w:p w:rsidR="00865046" w:rsidRDefault="00865046" w:rsidP="00865046">
            <w:r>
              <w:t>Riskfaktorerna ska bekräftas av innehållet i undantagsdokumentet.</w:t>
            </w:r>
          </w:p>
          <w:p w:rsidR="00865046" w:rsidRPr="00915135" w:rsidRDefault="00865046" w:rsidP="00865046"/>
        </w:tc>
        <w:tc>
          <w:tcPr>
            <w:tcW w:w="1891" w:type="dxa"/>
          </w:tcPr>
          <w:p w:rsidR="00865046" w:rsidRPr="00865046" w:rsidRDefault="00865046" w:rsidP="00865046">
            <w:pPr>
              <w:rPr>
                <w:rFonts w:ascii="Times New Roman" w:eastAsia="Times New Roman" w:hAnsi="Times New Roman" w:cs="Times New Roman"/>
                <w:b/>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865046" w:rsidRPr="00865046" w:rsidRDefault="00865046" w:rsidP="00865046">
            <w:pPr>
              <w:rPr>
                <w:rFonts w:ascii="Times New Roman" w:eastAsia="Times New Roman" w:hAnsi="Times New Roman" w:cs="Times New Roman"/>
                <w:b/>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865046" w:rsidRPr="00865046" w:rsidTr="00F87C38">
        <w:trPr>
          <w:trHeight w:val="296"/>
        </w:trPr>
        <w:tc>
          <w:tcPr>
            <w:tcW w:w="1877" w:type="dxa"/>
          </w:tcPr>
          <w:p w:rsidR="00865046" w:rsidRPr="00865046" w:rsidRDefault="00865046" w:rsidP="00865046">
            <w:pPr>
              <w:rPr>
                <w:rFonts w:ascii="Times New Roman" w:eastAsia="Times New Roman" w:hAnsi="Times New Roman" w:cs="Times New Roman"/>
                <w:b/>
              </w:rPr>
            </w:pPr>
            <w:r w:rsidRPr="00865046">
              <w:rPr>
                <w:rFonts w:ascii="Times New Roman" w:eastAsia="Times New Roman" w:hAnsi="Times New Roman" w:cs="Times New Roman"/>
                <w:b/>
              </w:rPr>
              <w:t>P</w:t>
            </w:r>
            <w:r>
              <w:rPr>
                <w:rFonts w:ascii="Times New Roman" w:eastAsia="Times New Roman" w:hAnsi="Times New Roman" w:cs="Times New Roman"/>
                <w:b/>
              </w:rPr>
              <w:t>unkt 4.2</w:t>
            </w:r>
          </w:p>
        </w:tc>
        <w:tc>
          <w:tcPr>
            <w:tcW w:w="3737" w:type="dxa"/>
          </w:tcPr>
          <w:p w:rsidR="00865046" w:rsidRPr="00915135" w:rsidRDefault="00865046" w:rsidP="00865046">
            <w:pPr>
              <w:rPr>
                <w:b/>
              </w:rPr>
            </w:pPr>
            <w:r w:rsidRPr="00915135">
              <w:rPr>
                <w:b/>
              </w:rPr>
              <w:t xml:space="preserve">Redogörelse för rörelsekapital </w:t>
            </w:r>
          </w:p>
          <w:p w:rsidR="00865046" w:rsidRDefault="00865046" w:rsidP="00865046"/>
          <w:p w:rsidR="00865046" w:rsidRDefault="00865046" w:rsidP="00865046">
            <w:r>
              <w:t xml:space="preserve">Ett uttalande av emittenten om att rörelsekapitalet enligt dennes uppfattning är tillräckligt för dennes aktuella behov, eller i annat fall hur emittenten planerar att anskaffa det ytterligare rörelsekapital som behövs. </w:t>
            </w:r>
          </w:p>
          <w:p w:rsidR="00865046" w:rsidRPr="00865046" w:rsidRDefault="00865046" w:rsidP="00865046">
            <w:pPr>
              <w:rPr>
                <w:rFonts w:ascii="Times New Roman" w:eastAsia="Times New Roman" w:hAnsi="Times New Roman" w:cs="Times New Roman"/>
              </w:rPr>
            </w:pPr>
          </w:p>
        </w:tc>
        <w:tc>
          <w:tcPr>
            <w:tcW w:w="1891"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865046" w:rsidRPr="00865046" w:rsidTr="00F87C38">
        <w:trPr>
          <w:trHeight w:val="296"/>
        </w:trPr>
        <w:tc>
          <w:tcPr>
            <w:tcW w:w="1877" w:type="dxa"/>
          </w:tcPr>
          <w:p w:rsidR="00865046" w:rsidRPr="00865046" w:rsidRDefault="00865046" w:rsidP="00865046">
            <w:pPr>
              <w:rPr>
                <w:rFonts w:ascii="Times New Roman" w:eastAsia="Times New Roman" w:hAnsi="Times New Roman" w:cs="Times New Roman"/>
                <w:b/>
              </w:rPr>
            </w:pPr>
            <w:r w:rsidRPr="00865046">
              <w:rPr>
                <w:rFonts w:ascii="Times New Roman" w:eastAsia="Times New Roman" w:hAnsi="Times New Roman" w:cs="Times New Roman"/>
                <w:b/>
              </w:rPr>
              <w:t>P</w:t>
            </w:r>
            <w:r>
              <w:rPr>
                <w:rFonts w:ascii="Times New Roman" w:eastAsia="Times New Roman" w:hAnsi="Times New Roman" w:cs="Times New Roman"/>
                <w:b/>
              </w:rPr>
              <w:t>unkt 4.3</w:t>
            </w:r>
          </w:p>
        </w:tc>
        <w:tc>
          <w:tcPr>
            <w:tcW w:w="7665" w:type="dxa"/>
            <w:gridSpan w:val="3"/>
          </w:tcPr>
          <w:p w:rsidR="00865046" w:rsidRPr="00915135" w:rsidRDefault="00865046" w:rsidP="00865046">
            <w:pPr>
              <w:rPr>
                <w:rFonts w:ascii="Times New Roman" w:eastAsia="Times New Roman" w:hAnsi="Times New Roman" w:cs="Times New Roman"/>
                <w:b/>
              </w:rPr>
            </w:pPr>
            <w:r w:rsidRPr="00915135">
              <w:rPr>
                <w:b/>
              </w:rPr>
              <w:t xml:space="preserve">Information om de aktierelaterade värdepapper som erbjuds och/eller tas upp till handel </w:t>
            </w:r>
          </w:p>
          <w:p w:rsidR="00865046" w:rsidRPr="00865046" w:rsidRDefault="00865046" w:rsidP="00865046">
            <w:pPr>
              <w:rPr>
                <w:rFonts w:ascii="Times New Roman" w:eastAsia="Times New Roman" w:hAnsi="Times New Roman" w:cs="Times New Roman"/>
              </w:rPr>
            </w:pPr>
          </w:p>
        </w:tc>
      </w:tr>
      <w:tr w:rsidR="00865046" w:rsidRPr="00865046" w:rsidTr="00F87C38">
        <w:trPr>
          <w:trHeight w:val="296"/>
        </w:trPr>
        <w:tc>
          <w:tcPr>
            <w:tcW w:w="1877" w:type="dxa"/>
          </w:tcPr>
          <w:p w:rsidR="00865046" w:rsidRPr="00865046" w:rsidRDefault="00865046" w:rsidP="00865046">
            <w:pPr>
              <w:rPr>
                <w:rFonts w:ascii="Times New Roman" w:eastAsia="Times New Roman" w:hAnsi="Times New Roman" w:cs="Times New Roman"/>
                <w:b/>
              </w:rPr>
            </w:pPr>
            <w:r w:rsidRPr="00865046">
              <w:rPr>
                <w:rFonts w:ascii="Times New Roman" w:eastAsia="Times New Roman" w:hAnsi="Times New Roman" w:cs="Times New Roman"/>
                <w:b/>
              </w:rPr>
              <w:t>Punkt</w:t>
            </w:r>
            <w:r>
              <w:rPr>
                <w:rFonts w:ascii="Times New Roman" w:eastAsia="Times New Roman" w:hAnsi="Times New Roman" w:cs="Times New Roman"/>
                <w:b/>
              </w:rPr>
              <w:t xml:space="preserve"> 4.3.1</w:t>
            </w:r>
          </w:p>
          <w:p w:rsidR="00865046" w:rsidRPr="00865046" w:rsidRDefault="00865046" w:rsidP="00865046">
            <w:pPr>
              <w:rPr>
                <w:rFonts w:ascii="Times New Roman" w:eastAsia="Times New Roman" w:hAnsi="Times New Roman" w:cs="Times New Roman"/>
                <w:b/>
              </w:rPr>
            </w:pPr>
          </w:p>
        </w:tc>
        <w:tc>
          <w:tcPr>
            <w:tcW w:w="3737" w:type="dxa"/>
          </w:tcPr>
          <w:p w:rsidR="00865046" w:rsidRDefault="00865046">
            <w:r>
              <w:t xml:space="preserve">Allmän information som ska lämnas </w:t>
            </w:r>
            <w:r>
              <w:br/>
            </w:r>
            <w:r>
              <w:br/>
              <w:t xml:space="preserve">a) En beskrivning av typ, slag och mängd av värdepapper som erbjuds och/eller tas upp till handel, däribland det internationella standardnumret för värdepapper (ISIN). </w:t>
            </w:r>
            <w:r>
              <w:br/>
            </w:r>
            <w:r>
              <w:br/>
              <w:t>b) Valutan för emissionen av aktierelaterade värdepapper.</w:t>
            </w:r>
          </w:p>
          <w:p w:rsidR="00865046" w:rsidRPr="00865046" w:rsidRDefault="00865046">
            <w:pPr>
              <w:rPr>
                <w:rFonts w:ascii="Times New Roman" w:eastAsia="Times New Roman" w:hAnsi="Times New Roman" w:cs="Times New Roman"/>
              </w:rPr>
            </w:pPr>
          </w:p>
        </w:tc>
        <w:tc>
          <w:tcPr>
            <w:tcW w:w="1891"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865046" w:rsidRPr="00865046" w:rsidTr="00F87C38">
        <w:trPr>
          <w:trHeight w:val="296"/>
        </w:trPr>
        <w:tc>
          <w:tcPr>
            <w:tcW w:w="1877" w:type="dxa"/>
          </w:tcPr>
          <w:p w:rsidR="00865046" w:rsidRPr="00865046" w:rsidRDefault="00865046" w:rsidP="00865046">
            <w:pPr>
              <w:rPr>
                <w:rFonts w:ascii="Times New Roman" w:eastAsia="Times New Roman" w:hAnsi="Times New Roman" w:cs="Times New Roman"/>
                <w:b/>
              </w:rPr>
            </w:pPr>
            <w:r w:rsidRPr="00865046">
              <w:rPr>
                <w:rFonts w:ascii="Times New Roman" w:eastAsia="Times New Roman" w:hAnsi="Times New Roman" w:cs="Times New Roman"/>
                <w:b/>
              </w:rPr>
              <w:lastRenderedPageBreak/>
              <w:t>P</w:t>
            </w:r>
            <w:r>
              <w:rPr>
                <w:rFonts w:ascii="Times New Roman" w:eastAsia="Times New Roman" w:hAnsi="Times New Roman" w:cs="Times New Roman"/>
                <w:b/>
              </w:rPr>
              <w:t>unkt 4.3.2</w:t>
            </w:r>
          </w:p>
          <w:p w:rsidR="00865046" w:rsidRPr="00865046" w:rsidRDefault="00865046" w:rsidP="00865046">
            <w:pPr>
              <w:rPr>
                <w:rFonts w:ascii="Times New Roman" w:eastAsia="Times New Roman" w:hAnsi="Times New Roman" w:cs="Times New Roman"/>
                <w:b/>
              </w:rPr>
            </w:pPr>
          </w:p>
        </w:tc>
        <w:tc>
          <w:tcPr>
            <w:tcW w:w="3737" w:type="dxa"/>
          </w:tcPr>
          <w:p w:rsidR="00865046" w:rsidRDefault="00865046" w:rsidP="00865046">
            <w:r>
              <w:t xml:space="preserve">En förklaring om de beslut, bemyndiganden och godkännanden som ligger till grund för upprättandet och/eller emissionen av de aktierelaterade värdepapperen. </w:t>
            </w:r>
          </w:p>
          <w:p w:rsidR="00865046" w:rsidRPr="00865046" w:rsidRDefault="00865046" w:rsidP="00865046">
            <w:pPr>
              <w:rPr>
                <w:rFonts w:ascii="Times New Roman" w:eastAsia="Times New Roman" w:hAnsi="Times New Roman" w:cs="Times New Roman"/>
              </w:rPr>
            </w:pPr>
          </w:p>
        </w:tc>
        <w:tc>
          <w:tcPr>
            <w:tcW w:w="1891"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865046" w:rsidRPr="00865046" w:rsidTr="00F87C38">
        <w:trPr>
          <w:trHeight w:val="296"/>
        </w:trPr>
        <w:tc>
          <w:tcPr>
            <w:tcW w:w="1877" w:type="dxa"/>
          </w:tcPr>
          <w:p w:rsidR="00865046" w:rsidRPr="00865046" w:rsidRDefault="00865046" w:rsidP="00865046">
            <w:pPr>
              <w:rPr>
                <w:rFonts w:ascii="Times New Roman" w:eastAsia="Times New Roman" w:hAnsi="Times New Roman" w:cs="Times New Roman"/>
                <w:b/>
              </w:rPr>
            </w:pPr>
            <w:r w:rsidRPr="00865046">
              <w:rPr>
                <w:rFonts w:ascii="Times New Roman" w:eastAsia="Times New Roman" w:hAnsi="Times New Roman" w:cs="Times New Roman"/>
                <w:b/>
              </w:rPr>
              <w:t>P</w:t>
            </w:r>
            <w:r>
              <w:rPr>
                <w:rFonts w:ascii="Times New Roman" w:eastAsia="Times New Roman" w:hAnsi="Times New Roman" w:cs="Times New Roman"/>
                <w:b/>
              </w:rPr>
              <w:t>unkt 4.3.3</w:t>
            </w:r>
          </w:p>
          <w:p w:rsidR="00865046" w:rsidRPr="00865046" w:rsidRDefault="00865046" w:rsidP="00865046">
            <w:pPr>
              <w:rPr>
                <w:rFonts w:ascii="Times New Roman" w:eastAsia="Times New Roman" w:hAnsi="Times New Roman" w:cs="Times New Roman"/>
                <w:b/>
              </w:rPr>
            </w:pPr>
          </w:p>
        </w:tc>
        <w:tc>
          <w:tcPr>
            <w:tcW w:w="3737" w:type="dxa"/>
          </w:tcPr>
          <w:p w:rsidR="00865046" w:rsidRDefault="00865046" w:rsidP="00865046">
            <w:r>
              <w:t>Uppgifter om eventuella inskränkningar i rätten att fritt överlåta de aktierelaterade värdepapperen</w:t>
            </w:r>
            <w:r w:rsidR="007F7E94">
              <w:t>.</w:t>
            </w:r>
          </w:p>
          <w:p w:rsidR="00865046" w:rsidRPr="00865046" w:rsidRDefault="00865046" w:rsidP="00865046">
            <w:pPr>
              <w:rPr>
                <w:rFonts w:ascii="Times New Roman" w:eastAsia="Times New Roman" w:hAnsi="Times New Roman" w:cs="Times New Roman"/>
              </w:rPr>
            </w:pPr>
          </w:p>
        </w:tc>
        <w:tc>
          <w:tcPr>
            <w:tcW w:w="1891"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865046" w:rsidRPr="00865046" w:rsidTr="00F87C38">
        <w:trPr>
          <w:trHeight w:val="296"/>
        </w:trPr>
        <w:tc>
          <w:tcPr>
            <w:tcW w:w="1877" w:type="dxa"/>
          </w:tcPr>
          <w:p w:rsidR="00865046" w:rsidRPr="00865046" w:rsidRDefault="00865046" w:rsidP="00865046">
            <w:pPr>
              <w:rPr>
                <w:rFonts w:ascii="Times New Roman" w:eastAsia="Times New Roman" w:hAnsi="Times New Roman" w:cs="Times New Roman"/>
                <w:b/>
              </w:rPr>
            </w:pPr>
            <w:r w:rsidRPr="00865046">
              <w:rPr>
                <w:rFonts w:ascii="Times New Roman" w:eastAsia="Times New Roman" w:hAnsi="Times New Roman" w:cs="Times New Roman"/>
                <w:b/>
              </w:rPr>
              <w:t>P</w:t>
            </w:r>
            <w:r w:rsidR="005A6A2A">
              <w:rPr>
                <w:rFonts w:ascii="Times New Roman" w:eastAsia="Times New Roman" w:hAnsi="Times New Roman" w:cs="Times New Roman"/>
                <w:b/>
              </w:rPr>
              <w:t>unkt 4.3.4</w:t>
            </w:r>
          </w:p>
          <w:p w:rsidR="00865046" w:rsidRPr="00865046" w:rsidRDefault="00865046" w:rsidP="00865046">
            <w:pPr>
              <w:rPr>
                <w:rFonts w:ascii="Times New Roman" w:eastAsia="Times New Roman" w:hAnsi="Times New Roman" w:cs="Times New Roman"/>
                <w:b/>
              </w:rPr>
            </w:pPr>
          </w:p>
        </w:tc>
        <w:tc>
          <w:tcPr>
            <w:tcW w:w="3737" w:type="dxa"/>
          </w:tcPr>
          <w:p w:rsidR="00865046" w:rsidRPr="00865046" w:rsidRDefault="005A6A2A" w:rsidP="00865046">
            <w:pPr>
              <w:rPr>
                <w:rFonts w:ascii="Times New Roman" w:eastAsia="Times New Roman" w:hAnsi="Times New Roman" w:cs="Times New Roman"/>
              </w:rPr>
            </w:pPr>
            <w:r>
              <w:t xml:space="preserve">En upplysning om huruvida tredje parter har lämnat offentliga uppköpserbjudanden i fråga om emittentens egna kapital under det senaste eller innevarande räkenskapsåret. Ange pris- eller utbytesvillkor vid sådana erbjudanden samt vad resultatet blivit. </w:t>
            </w:r>
          </w:p>
        </w:tc>
        <w:tc>
          <w:tcPr>
            <w:tcW w:w="1891"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5A6A2A" w:rsidRPr="00865046" w:rsidTr="00F87C38">
        <w:trPr>
          <w:trHeight w:val="296"/>
        </w:trPr>
        <w:tc>
          <w:tcPr>
            <w:tcW w:w="1877" w:type="dxa"/>
          </w:tcPr>
          <w:p w:rsidR="005A6A2A" w:rsidRPr="00865046" w:rsidRDefault="005A6A2A" w:rsidP="00865046">
            <w:pPr>
              <w:rPr>
                <w:rFonts w:ascii="Times New Roman" w:eastAsia="Times New Roman" w:hAnsi="Times New Roman" w:cs="Times New Roman"/>
                <w:b/>
              </w:rPr>
            </w:pPr>
            <w:r w:rsidRPr="00865046">
              <w:rPr>
                <w:rFonts w:ascii="Times New Roman" w:eastAsia="Times New Roman" w:hAnsi="Times New Roman" w:cs="Times New Roman"/>
                <w:b/>
              </w:rPr>
              <w:t>P</w:t>
            </w:r>
            <w:r>
              <w:rPr>
                <w:rFonts w:ascii="Times New Roman" w:eastAsia="Times New Roman" w:hAnsi="Times New Roman" w:cs="Times New Roman"/>
                <w:b/>
              </w:rPr>
              <w:t>unkt 4.4</w:t>
            </w:r>
          </w:p>
          <w:p w:rsidR="005A6A2A" w:rsidRPr="00865046" w:rsidRDefault="005A6A2A" w:rsidP="00865046">
            <w:pPr>
              <w:rPr>
                <w:rFonts w:ascii="Times New Roman" w:eastAsia="Times New Roman" w:hAnsi="Times New Roman" w:cs="Times New Roman"/>
                <w:b/>
              </w:rPr>
            </w:pPr>
          </w:p>
        </w:tc>
        <w:tc>
          <w:tcPr>
            <w:tcW w:w="7665" w:type="dxa"/>
            <w:gridSpan w:val="3"/>
          </w:tcPr>
          <w:p w:rsidR="005A6A2A" w:rsidRPr="00915135" w:rsidRDefault="005A6A2A">
            <w:pPr>
              <w:rPr>
                <w:b/>
              </w:rPr>
            </w:pPr>
            <w:r w:rsidRPr="00915135">
              <w:rPr>
                <w:b/>
              </w:rPr>
              <w:t>Villkor för upptagande till handel och handel</w:t>
            </w:r>
          </w:p>
          <w:p w:rsidR="005A6A2A" w:rsidRPr="00865046" w:rsidRDefault="005A6A2A" w:rsidP="00865046">
            <w:pPr>
              <w:rPr>
                <w:rFonts w:ascii="Times New Roman" w:eastAsia="Times New Roman" w:hAnsi="Times New Roman" w:cs="Times New Roman"/>
              </w:rPr>
            </w:pPr>
          </w:p>
        </w:tc>
      </w:tr>
      <w:tr w:rsidR="00865046" w:rsidRPr="00865046" w:rsidTr="00F87C38">
        <w:trPr>
          <w:trHeight w:val="296"/>
        </w:trPr>
        <w:tc>
          <w:tcPr>
            <w:tcW w:w="1877" w:type="dxa"/>
          </w:tcPr>
          <w:p w:rsidR="00865046" w:rsidRPr="00865046" w:rsidRDefault="00865046" w:rsidP="00865046">
            <w:pPr>
              <w:rPr>
                <w:rFonts w:ascii="Times New Roman" w:eastAsia="Times New Roman" w:hAnsi="Times New Roman" w:cs="Times New Roman"/>
                <w:b/>
              </w:rPr>
            </w:pPr>
            <w:r w:rsidRPr="00865046">
              <w:rPr>
                <w:rFonts w:ascii="Times New Roman" w:eastAsia="Times New Roman" w:hAnsi="Times New Roman" w:cs="Times New Roman"/>
                <w:b/>
              </w:rPr>
              <w:t>P</w:t>
            </w:r>
            <w:r w:rsidR="005A6A2A">
              <w:rPr>
                <w:rFonts w:ascii="Times New Roman" w:eastAsia="Times New Roman" w:hAnsi="Times New Roman" w:cs="Times New Roman"/>
                <w:b/>
              </w:rPr>
              <w:t>unkt 4.4.1</w:t>
            </w:r>
          </w:p>
          <w:p w:rsidR="00865046" w:rsidRPr="00865046" w:rsidRDefault="00865046" w:rsidP="00865046">
            <w:pPr>
              <w:rPr>
                <w:rFonts w:ascii="Times New Roman" w:eastAsia="Times New Roman" w:hAnsi="Times New Roman" w:cs="Times New Roman"/>
                <w:b/>
              </w:rPr>
            </w:pPr>
          </w:p>
        </w:tc>
        <w:tc>
          <w:tcPr>
            <w:tcW w:w="3737" w:type="dxa"/>
          </w:tcPr>
          <w:p w:rsidR="005A6A2A" w:rsidRDefault="005A6A2A" w:rsidP="00865046">
            <w:r>
              <w:t>En upplysning om huruvida de erbjudna aktierelaterade värdepapperen är eller kommer att bli föremål för en ansökan om upptagande till handel, med avsikt att de ska fördelas på en reglerad marknad, annan likvärdig tredjelandsmarknad enligt definitionen i artikel 1 b i kommissionens delegerade förordning (EU) 2019/980 (</w:t>
            </w:r>
            <w:r>
              <w:rPr>
                <w:rStyle w:val="Fotnotsreferens"/>
              </w:rPr>
              <w:footnoteReference w:id="4"/>
            </w:r>
            <w:r>
              <w:t xml:space="preserve">) med uppgift om vilka marknader som avses. </w:t>
            </w:r>
          </w:p>
          <w:p w:rsidR="005A6A2A" w:rsidRDefault="005A6A2A" w:rsidP="00865046"/>
          <w:p w:rsidR="00865046" w:rsidRDefault="005A6A2A" w:rsidP="00865046">
            <w:r>
              <w:t>Ange i känd utsträckning de tidigaste datum då de aktierelaterade värdepapperen kommer att tas upp till handel.</w:t>
            </w:r>
          </w:p>
          <w:p w:rsidR="005A6A2A" w:rsidRPr="00865046" w:rsidRDefault="005A6A2A" w:rsidP="00865046">
            <w:pPr>
              <w:rPr>
                <w:rFonts w:ascii="Times New Roman" w:eastAsia="Times New Roman" w:hAnsi="Times New Roman" w:cs="Times New Roman"/>
              </w:rPr>
            </w:pPr>
          </w:p>
        </w:tc>
        <w:tc>
          <w:tcPr>
            <w:tcW w:w="1891"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865046" w:rsidRPr="00865046" w:rsidTr="00F87C38">
        <w:trPr>
          <w:trHeight w:val="296"/>
        </w:trPr>
        <w:tc>
          <w:tcPr>
            <w:tcW w:w="1877" w:type="dxa"/>
          </w:tcPr>
          <w:p w:rsidR="00865046" w:rsidRPr="00865046" w:rsidRDefault="00865046" w:rsidP="00865046">
            <w:pPr>
              <w:rPr>
                <w:rFonts w:ascii="Times New Roman" w:eastAsia="Times New Roman" w:hAnsi="Times New Roman" w:cs="Times New Roman"/>
                <w:b/>
              </w:rPr>
            </w:pPr>
            <w:r w:rsidRPr="00865046">
              <w:rPr>
                <w:rFonts w:ascii="Times New Roman" w:eastAsia="Times New Roman" w:hAnsi="Times New Roman" w:cs="Times New Roman"/>
                <w:b/>
              </w:rPr>
              <w:t>P</w:t>
            </w:r>
            <w:r w:rsidR="005A6A2A">
              <w:rPr>
                <w:rFonts w:ascii="Times New Roman" w:eastAsia="Times New Roman" w:hAnsi="Times New Roman" w:cs="Times New Roman"/>
                <w:b/>
              </w:rPr>
              <w:t>unkt 4.4.2</w:t>
            </w:r>
          </w:p>
          <w:p w:rsidR="00865046" w:rsidRPr="00865046" w:rsidRDefault="00865046" w:rsidP="00865046">
            <w:pPr>
              <w:rPr>
                <w:rFonts w:ascii="Times New Roman" w:eastAsia="Times New Roman" w:hAnsi="Times New Roman" w:cs="Times New Roman"/>
                <w:b/>
              </w:rPr>
            </w:pPr>
          </w:p>
        </w:tc>
        <w:tc>
          <w:tcPr>
            <w:tcW w:w="3737" w:type="dxa"/>
          </w:tcPr>
          <w:p w:rsidR="00865046" w:rsidRDefault="005A6A2A">
            <w:r>
              <w:t>Samtliga reglerade marknader, likvärdiga tredjelandsmarknader enligt definitionen i artikel 1 b i delegerad förordning (EU) 2019/980 eller multilaterala handelsplattformar på vilka, enligt vad emittenten känner till, aktierelaterade värdepapper av samma slag som de aktierelaterade värdepapper som ska erbjudas eller tas upp till handel redan har tagits upp till handel, även i förekommande fall depåbevis och underliggande aktier.</w:t>
            </w:r>
          </w:p>
          <w:p w:rsidR="005A6A2A" w:rsidRPr="00865046" w:rsidRDefault="005A6A2A">
            <w:pPr>
              <w:rPr>
                <w:rFonts w:ascii="Times New Roman" w:eastAsia="Times New Roman" w:hAnsi="Times New Roman" w:cs="Times New Roman"/>
              </w:rPr>
            </w:pPr>
          </w:p>
        </w:tc>
        <w:tc>
          <w:tcPr>
            <w:tcW w:w="1891"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865046" w:rsidRPr="00865046" w:rsidTr="00F87C38">
        <w:trPr>
          <w:trHeight w:val="296"/>
        </w:trPr>
        <w:tc>
          <w:tcPr>
            <w:tcW w:w="1877" w:type="dxa"/>
          </w:tcPr>
          <w:p w:rsidR="00865046" w:rsidRPr="00865046" w:rsidRDefault="00865046" w:rsidP="00865046">
            <w:pPr>
              <w:rPr>
                <w:rFonts w:ascii="Times New Roman" w:eastAsia="Times New Roman" w:hAnsi="Times New Roman" w:cs="Times New Roman"/>
                <w:b/>
              </w:rPr>
            </w:pPr>
            <w:r w:rsidRPr="00865046">
              <w:rPr>
                <w:rFonts w:ascii="Times New Roman" w:eastAsia="Times New Roman" w:hAnsi="Times New Roman" w:cs="Times New Roman"/>
                <w:b/>
              </w:rPr>
              <w:t>P</w:t>
            </w:r>
            <w:r w:rsidR="005A6A2A">
              <w:rPr>
                <w:rFonts w:ascii="Times New Roman" w:eastAsia="Times New Roman" w:hAnsi="Times New Roman" w:cs="Times New Roman"/>
                <w:b/>
              </w:rPr>
              <w:t>unkt 4.4.3</w:t>
            </w:r>
          </w:p>
        </w:tc>
        <w:tc>
          <w:tcPr>
            <w:tcW w:w="3737" w:type="dxa"/>
          </w:tcPr>
          <w:p w:rsidR="00865046" w:rsidRDefault="005A6A2A">
            <w:r>
              <w:t>Närmare uppgifter om de enheter som har gjort ett fast åtagande att agera som mellanhänder vid sekundärhandel och tillhandahålla likviditet med hjälp av köp- och säljkurser samt en beskrivning av huvudvillkoren för deras åtagande.</w:t>
            </w:r>
          </w:p>
          <w:p w:rsidR="005A6A2A" w:rsidRPr="00865046" w:rsidRDefault="005A6A2A">
            <w:pPr>
              <w:rPr>
                <w:rFonts w:ascii="Times New Roman" w:eastAsia="Times New Roman" w:hAnsi="Times New Roman" w:cs="Times New Roman"/>
                <w:b/>
              </w:rPr>
            </w:pPr>
          </w:p>
        </w:tc>
        <w:tc>
          <w:tcPr>
            <w:tcW w:w="1891"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865046" w:rsidRPr="00865046" w:rsidTr="00F87C38">
        <w:trPr>
          <w:trHeight w:val="296"/>
        </w:trPr>
        <w:tc>
          <w:tcPr>
            <w:tcW w:w="1877" w:type="dxa"/>
          </w:tcPr>
          <w:p w:rsidR="00865046" w:rsidRPr="00865046" w:rsidRDefault="00865046" w:rsidP="00865046">
            <w:pPr>
              <w:rPr>
                <w:rFonts w:ascii="Times New Roman" w:eastAsia="Times New Roman" w:hAnsi="Times New Roman" w:cs="Times New Roman"/>
                <w:b/>
              </w:rPr>
            </w:pPr>
            <w:r w:rsidRPr="00865046">
              <w:rPr>
                <w:rFonts w:ascii="Times New Roman" w:eastAsia="Times New Roman" w:hAnsi="Times New Roman" w:cs="Times New Roman"/>
                <w:b/>
              </w:rPr>
              <w:t>P</w:t>
            </w:r>
            <w:r w:rsidR="005A6A2A">
              <w:rPr>
                <w:rFonts w:ascii="Times New Roman" w:eastAsia="Times New Roman" w:hAnsi="Times New Roman" w:cs="Times New Roman"/>
                <w:b/>
              </w:rPr>
              <w:t>unkt 4.4.4</w:t>
            </w:r>
          </w:p>
          <w:p w:rsidR="00865046" w:rsidRPr="00865046" w:rsidRDefault="00865046" w:rsidP="00865046">
            <w:pPr>
              <w:rPr>
                <w:rFonts w:ascii="Times New Roman" w:eastAsia="Times New Roman" w:hAnsi="Times New Roman" w:cs="Times New Roman"/>
                <w:b/>
              </w:rPr>
            </w:pPr>
          </w:p>
        </w:tc>
        <w:tc>
          <w:tcPr>
            <w:tcW w:w="3737" w:type="dxa"/>
          </w:tcPr>
          <w:p w:rsidR="00865046" w:rsidRDefault="005A6A2A" w:rsidP="00865046">
            <w:r>
              <w:t xml:space="preserve">Överenskommelser om att inte sälja värdepapper under en viss period: </w:t>
            </w:r>
            <w:r>
              <w:br/>
            </w:r>
            <w:r>
              <w:lastRenderedPageBreak/>
              <w:br/>
              <w:t xml:space="preserve">a) Berörda parter. </w:t>
            </w:r>
            <w:r>
              <w:br/>
            </w:r>
            <w:r>
              <w:br/>
              <w:t xml:space="preserve">b) Överenskommelsens innehåll och undantag från denna. </w:t>
            </w:r>
            <w:r>
              <w:br/>
            </w:r>
            <w:r>
              <w:br/>
              <w:t>c) Uppgifter om den tidsperiod som överenskommelsen gäller.</w:t>
            </w:r>
          </w:p>
          <w:p w:rsidR="005A6A2A" w:rsidRPr="00865046" w:rsidRDefault="005A6A2A" w:rsidP="00865046">
            <w:pPr>
              <w:rPr>
                <w:rFonts w:ascii="Times New Roman" w:eastAsia="Times New Roman" w:hAnsi="Times New Roman" w:cs="Times New Roman"/>
                <w:b/>
              </w:rPr>
            </w:pPr>
          </w:p>
        </w:tc>
        <w:tc>
          <w:tcPr>
            <w:tcW w:w="1891"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lastRenderedPageBreak/>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F87C38" w:rsidRPr="00865046" w:rsidTr="00F87C38">
        <w:trPr>
          <w:trHeight w:val="296"/>
        </w:trPr>
        <w:tc>
          <w:tcPr>
            <w:tcW w:w="1877" w:type="dxa"/>
          </w:tcPr>
          <w:p w:rsidR="00F87C38" w:rsidRPr="00865046" w:rsidRDefault="00F87C38" w:rsidP="00865046">
            <w:pPr>
              <w:rPr>
                <w:rFonts w:ascii="Times New Roman" w:eastAsia="Times New Roman" w:hAnsi="Times New Roman" w:cs="Times New Roman"/>
                <w:b/>
              </w:rPr>
            </w:pPr>
            <w:r w:rsidRPr="00865046">
              <w:rPr>
                <w:rFonts w:ascii="Times New Roman" w:eastAsia="Times New Roman" w:hAnsi="Times New Roman" w:cs="Times New Roman"/>
                <w:b/>
              </w:rPr>
              <w:t>P</w:t>
            </w:r>
            <w:r>
              <w:rPr>
                <w:rFonts w:ascii="Times New Roman" w:eastAsia="Times New Roman" w:hAnsi="Times New Roman" w:cs="Times New Roman"/>
                <w:b/>
              </w:rPr>
              <w:t>unkt 4.5</w:t>
            </w:r>
          </w:p>
        </w:tc>
        <w:tc>
          <w:tcPr>
            <w:tcW w:w="7665" w:type="dxa"/>
            <w:gridSpan w:val="3"/>
          </w:tcPr>
          <w:p w:rsidR="00F87C38" w:rsidRPr="00915135" w:rsidRDefault="00F87C38" w:rsidP="00865046">
            <w:pPr>
              <w:rPr>
                <w:b/>
              </w:rPr>
            </w:pPr>
            <w:r w:rsidRPr="00915135">
              <w:rPr>
                <w:b/>
              </w:rPr>
              <w:t>Utspädning</w:t>
            </w:r>
          </w:p>
          <w:p w:rsidR="00F87C38" w:rsidRPr="00915135" w:rsidRDefault="00F87C38" w:rsidP="00865046"/>
        </w:tc>
      </w:tr>
      <w:tr w:rsidR="00865046" w:rsidRPr="00865046" w:rsidTr="00F87C38">
        <w:trPr>
          <w:trHeight w:val="296"/>
        </w:trPr>
        <w:tc>
          <w:tcPr>
            <w:tcW w:w="1877" w:type="dxa"/>
          </w:tcPr>
          <w:p w:rsidR="00865046" w:rsidRPr="00865046" w:rsidRDefault="00865046" w:rsidP="00865046">
            <w:pPr>
              <w:rPr>
                <w:rFonts w:ascii="Times New Roman" w:eastAsia="Times New Roman" w:hAnsi="Times New Roman" w:cs="Times New Roman"/>
                <w:b/>
              </w:rPr>
            </w:pPr>
            <w:r w:rsidRPr="00865046">
              <w:rPr>
                <w:rFonts w:ascii="Times New Roman" w:eastAsia="Times New Roman" w:hAnsi="Times New Roman" w:cs="Times New Roman"/>
                <w:b/>
              </w:rPr>
              <w:t>P</w:t>
            </w:r>
            <w:r w:rsidR="00F87C38">
              <w:rPr>
                <w:rFonts w:ascii="Times New Roman" w:eastAsia="Times New Roman" w:hAnsi="Times New Roman" w:cs="Times New Roman"/>
                <w:b/>
              </w:rPr>
              <w:t>unkt 4.5.1</w:t>
            </w:r>
          </w:p>
        </w:tc>
        <w:tc>
          <w:tcPr>
            <w:tcW w:w="3737" w:type="dxa"/>
          </w:tcPr>
          <w:p w:rsidR="00865046" w:rsidRDefault="00F87C38" w:rsidP="00865046">
            <w:r>
              <w:t xml:space="preserve">En jämförelse mellan nettotillgångsvärdet per aktie per dagen för den senaste balansräkningen före transaktionen och emissionspriset per aktie inom erbjudandet till allmänheten. </w:t>
            </w:r>
          </w:p>
          <w:p w:rsidR="00F87C38" w:rsidRPr="00865046" w:rsidRDefault="00F87C38" w:rsidP="00865046">
            <w:pPr>
              <w:rPr>
                <w:rFonts w:ascii="Times New Roman" w:eastAsia="Times New Roman" w:hAnsi="Times New Roman" w:cs="Times New Roman"/>
                <w:b/>
              </w:rPr>
            </w:pPr>
          </w:p>
        </w:tc>
        <w:tc>
          <w:tcPr>
            <w:tcW w:w="1891"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865046" w:rsidRPr="00865046" w:rsidTr="00F87C38">
        <w:trPr>
          <w:trHeight w:val="296"/>
        </w:trPr>
        <w:tc>
          <w:tcPr>
            <w:tcW w:w="1877" w:type="dxa"/>
          </w:tcPr>
          <w:p w:rsidR="00865046" w:rsidRPr="00865046" w:rsidRDefault="00865046" w:rsidP="00865046">
            <w:pPr>
              <w:rPr>
                <w:rFonts w:ascii="Times New Roman" w:eastAsia="Times New Roman" w:hAnsi="Times New Roman" w:cs="Times New Roman"/>
                <w:b/>
              </w:rPr>
            </w:pPr>
            <w:r w:rsidRPr="00865046">
              <w:rPr>
                <w:rFonts w:ascii="Times New Roman" w:eastAsia="Times New Roman" w:hAnsi="Times New Roman" w:cs="Times New Roman"/>
                <w:b/>
              </w:rPr>
              <w:t>P</w:t>
            </w:r>
            <w:r w:rsidR="00F87C38">
              <w:rPr>
                <w:rFonts w:ascii="Times New Roman" w:eastAsia="Times New Roman" w:hAnsi="Times New Roman" w:cs="Times New Roman"/>
                <w:b/>
              </w:rPr>
              <w:t>unkt 4.5.2</w:t>
            </w:r>
          </w:p>
        </w:tc>
        <w:tc>
          <w:tcPr>
            <w:tcW w:w="3737" w:type="dxa"/>
          </w:tcPr>
          <w:p w:rsidR="00865046" w:rsidRDefault="00F87C38" w:rsidP="00865046">
            <w:r>
              <w:t>Ytterligare information om det finns samtidiga eller nästan samtidiga erbjudanden eller upptag till handel avseende värdepapper i samma klass.</w:t>
            </w:r>
          </w:p>
          <w:p w:rsidR="00F87C38" w:rsidRPr="00865046" w:rsidRDefault="00F87C38" w:rsidP="00865046">
            <w:pPr>
              <w:rPr>
                <w:rFonts w:ascii="Times New Roman" w:eastAsia="Times New Roman" w:hAnsi="Times New Roman" w:cs="Times New Roman"/>
                <w:b/>
              </w:rPr>
            </w:pPr>
          </w:p>
        </w:tc>
        <w:tc>
          <w:tcPr>
            <w:tcW w:w="1891"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865046" w:rsidRPr="00865046" w:rsidTr="00F87C38">
        <w:trPr>
          <w:trHeight w:val="296"/>
        </w:trPr>
        <w:tc>
          <w:tcPr>
            <w:tcW w:w="1877" w:type="dxa"/>
          </w:tcPr>
          <w:p w:rsidR="00865046" w:rsidRPr="00865046" w:rsidRDefault="00865046" w:rsidP="00865046">
            <w:pPr>
              <w:rPr>
                <w:rFonts w:ascii="Times New Roman" w:eastAsia="Times New Roman" w:hAnsi="Times New Roman" w:cs="Times New Roman"/>
                <w:b/>
              </w:rPr>
            </w:pPr>
            <w:r w:rsidRPr="00865046">
              <w:rPr>
                <w:rFonts w:ascii="Times New Roman" w:eastAsia="Times New Roman" w:hAnsi="Times New Roman" w:cs="Times New Roman"/>
                <w:b/>
              </w:rPr>
              <w:t>P</w:t>
            </w:r>
            <w:r w:rsidR="00F87C38">
              <w:rPr>
                <w:rFonts w:ascii="Times New Roman" w:eastAsia="Times New Roman" w:hAnsi="Times New Roman" w:cs="Times New Roman"/>
                <w:b/>
              </w:rPr>
              <w:t>unkt 4.5.3</w:t>
            </w:r>
          </w:p>
        </w:tc>
        <w:tc>
          <w:tcPr>
            <w:tcW w:w="3737" w:type="dxa"/>
          </w:tcPr>
          <w:p w:rsidR="00865046" w:rsidRDefault="00132BB5">
            <w:r>
              <w:t>En tabell som visar antalet aktierelaterade värdepapper och rösträtter samt aktiekapitalet såväl före som efter transaktionen. En indikation av utspädningen (inklusive utspädningen av rösträtter) som påverkar befintliga aktieägare av emittenten till följd av erbjudandet.</w:t>
            </w:r>
          </w:p>
          <w:p w:rsidR="00132BB5" w:rsidRPr="00865046" w:rsidRDefault="00132BB5" w:rsidP="00132BB5">
            <w:pPr>
              <w:rPr>
                <w:rFonts w:ascii="Times New Roman" w:eastAsia="Times New Roman" w:hAnsi="Times New Roman" w:cs="Times New Roman"/>
                <w:b/>
              </w:rPr>
            </w:pPr>
          </w:p>
        </w:tc>
        <w:tc>
          <w:tcPr>
            <w:tcW w:w="1891"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865046" w:rsidRPr="00865046" w:rsidRDefault="00865046"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132BB5" w:rsidRPr="00865046" w:rsidTr="00F87C38">
        <w:trPr>
          <w:trHeight w:val="296"/>
        </w:trPr>
        <w:tc>
          <w:tcPr>
            <w:tcW w:w="1877" w:type="dxa"/>
          </w:tcPr>
          <w:p w:rsidR="00132BB5" w:rsidRDefault="00132BB5" w:rsidP="00865046">
            <w:pPr>
              <w:rPr>
                <w:rFonts w:ascii="Times New Roman" w:eastAsia="Times New Roman" w:hAnsi="Times New Roman" w:cs="Times New Roman"/>
                <w:b/>
              </w:rPr>
            </w:pPr>
            <w:r>
              <w:rPr>
                <w:rFonts w:ascii="Times New Roman" w:eastAsia="Times New Roman" w:hAnsi="Times New Roman" w:cs="Times New Roman"/>
                <w:b/>
              </w:rPr>
              <w:t>Punkt 4.6</w:t>
            </w:r>
          </w:p>
          <w:p w:rsidR="00132BB5" w:rsidRPr="00865046" w:rsidRDefault="00132BB5" w:rsidP="00865046">
            <w:pPr>
              <w:rPr>
                <w:rFonts w:ascii="Times New Roman" w:eastAsia="Times New Roman" w:hAnsi="Times New Roman" w:cs="Times New Roman"/>
                <w:b/>
              </w:rPr>
            </w:pPr>
          </w:p>
        </w:tc>
        <w:tc>
          <w:tcPr>
            <w:tcW w:w="3737" w:type="dxa"/>
          </w:tcPr>
          <w:p w:rsidR="00132BB5" w:rsidRPr="00915135" w:rsidRDefault="00132BB5" w:rsidP="00132BB5">
            <w:pPr>
              <w:rPr>
                <w:b/>
              </w:rPr>
            </w:pPr>
            <w:r w:rsidRPr="00915135">
              <w:rPr>
                <w:b/>
              </w:rPr>
              <w:t xml:space="preserve">Rådgivare </w:t>
            </w:r>
          </w:p>
          <w:p w:rsidR="00132BB5" w:rsidRDefault="00132BB5" w:rsidP="00132BB5"/>
          <w:p w:rsidR="00132BB5" w:rsidRDefault="00132BB5" w:rsidP="00132BB5">
            <w:r>
              <w:t>Om rådgivare som är knutna till en emission omnämns i undantagsdokumentet, ett uttalande om deras förhållande till emittenten i samband med denna rådgivning.</w:t>
            </w:r>
          </w:p>
          <w:p w:rsidR="00132BB5" w:rsidRDefault="00132BB5" w:rsidP="00132BB5"/>
        </w:tc>
        <w:tc>
          <w:tcPr>
            <w:tcW w:w="1891" w:type="dxa"/>
          </w:tcPr>
          <w:p w:rsidR="00132BB5" w:rsidRPr="00865046" w:rsidRDefault="00132BB5"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132BB5" w:rsidRPr="00865046" w:rsidRDefault="00132BB5" w:rsidP="00865046">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bl>
    <w:p w:rsidR="00865046" w:rsidRDefault="00865046" w:rsidP="00865046">
      <w:pPr>
        <w:spacing w:after="160" w:line="259" w:lineRule="auto"/>
        <w:rPr>
          <w:rFonts w:ascii="Calibri" w:eastAsia="Calibri" w:hAnsi="Calibri" w:cs="Times New Roman"/>
          <w:sz w:val="22"/>
          <w:szCs w:val="22"/>
        </w:rPr>
      </w:pPr>
    </w:p>
    <w:tbl>
      <w:tblPr>
        <w:tblStyle w:val="Tabellrutnt2"/>
        <w:tblW w:w="9542" w:type="dxa"/>
        <w:tblLook w:val="04A0" w:firstRow="1" w:lastRow="0" w:firstColumn="1" w:lastColumn="0" w:noHBand="0" w:noVBand="1"/>
      </w:tblPr>
      <w:tblGrid>
        <w:gridCol w:w="1877"/>
        <w:gridCol w:w="3737"/>
        <w:gridCol w:w="1891"/>
        <w:gridCol w:w="2037"/>
      </w:tblGrid>
      <w:tr w:rsidR="00132BB5" w:rsidRPr="00865046" w:rsidTr="00641D14">
        <w:trPr>
          <w:trHeight w:val="296"/>
        </w:trPr>
        <w:tc>
          <w:tcPr>
            <w:tcW w:w="1877" w:type="dxa"/>
          </w:tcPr>
          <w:p w:rsidR="00132BB5" w:rsidRPr="00865046" w:rsidRDefault="00132BB5" w:rsidP="00641D14">
            <w:pPr>
              <w:rPr>
                <w:rFonts w:ascii="Times New Roman" w:eastAsia="Times New Roman" w:hAnsi="Times New Roman" w:cs="Times New Roman"/>
                <w:b/>
              </w:rPr>
            </w:pPr>
            <w:r>
              <w:rPr>
                <w:rFonts w:ascii="Times New Roman" w:eastAsia="Times New Roman" w:hAnsi="Times New Roman" w:cs="Times New Roman"/>
                <w:b/>
              </w:rPr>
              <w:t>AVSNITT 5</w:t>
            </w:r>
          </w:p>
        </w:tc>
        <w:tc>
          <w:tcPr>
            <w:tcW w:w="3737" w:type="dxa"/>
          </w:tcPr>
          <w:p w:rsidR="00132BB5" w:rsidRPr="00915135" w:rsidRDefault="00132BB5" w:rsidP="00641D14">
            <w:pPr>
              <w:rPr>
                <w:b/>
              </w:rPr>
            </w:pPr>
            <w:r w:rsidRPr="00915135">
              <w:rPr>
                <w:b/>
              </w:rPr>
              <w:t xml:space="preserve">TRANSAKTIONENS KONSEKVENSER FÖR EMITTENTEN </w:t>
            </w:r>
          </w:p>
          <w:p w:rsidR="00132BB5" w:rsidRPr="00865046" w:rsidRDefault="00132BB5" w:rsidP="00641D14">
            <w:pPr>
              <w:rPr>
                <w:rFonts w:ascii="Times New Roman" w:eastAsia="Times New Roman" w:hAnsi="Times New Roman" w:cs="Times New Roman"/>
                <w:b/>
              </w:rPr>
            </w:pPr>
          </w:p>
        </w:tc>
        <w:tc>
          <w:tcPr>
            <w:tcW w:w="1891" w:type="dxa"/>
          </w:tcPr>
          <w:p w:rsidR="009B49CE" w:rsidRDefault="009B49CE" w:rsidP="009B49CE">
            <w:pPr>
              <w:rPr>
                <w:b/>
              </w:rPr>
            </w:pPr>
            <w:r>
              <w:rPr>
                <w:b/>
              </w:rPr>
              <w:t>Sidor i undantags-</w:t>
            </w:r>
          </w:p>
          <w:p w:rsidR="00132BB5" w:rsidRPr="00865046" w:rsidRDefault="009B49CE" w:rsidP="009B49CE">
            <w:pPr>
              <w:rPr>
                <w:rFonts w:ascii="Times New Roman" w:eastAsia="Times New Roman" w:hAnsi="Times New Roman" w:cs="Times New Roman"/>
                <w:b/>
              </w:rPr>
            </w:pPr>
            <w:r>
              <w:rPr>
                <w:b/>
              </w:rPr>
              <w:t>dokument</w:t>
            </w:r>
          </w:p>
        </w:tc>
        <w:tc>
          <w:tcPr>
            <w:tcW w:w="2037" w:type="dxa"/>
          </w:tcPr>
          <w:p w:rsidR="00132BB5" w:rsidRPr="00865046" w:rsidRDefault="00132BB5" w:rsidP="00641D14">
            <w:pPr>
              <w:rPr>
                <w:rFonts w:ascii="Times New Roman" w:eastAsia="Times New Roman" w:hAnsi="Times New Roman" w:cs="Times New Roman"/>
                <w:b/>
              </w:rPr>
            </w:pPr>
            <w:r w:rsidRPr="00865046">
              <w:rPr>
                <w:rFonts w:ascii="Times New Roman" w:eastAsia="Times New Roman" w:hAnsi="Times New Roman" w:cs="Times New Roman"/>
                <w:b/>
              </w:rPr>
              <w:t>Bolagets kommentarer</w:t>
            </w:r>
          </w:p>
          <w:p w:rsidR="00132BB5" w:rsidRPr="00865046" w:rsidRDefault="00132BB5" w:rsidP="00641D14">
            <w:pPr>
              <w:rPr>
                <w:rFonts w:ascii="Times New Roman" w:eastAsia="Times New Roman" w:hAnsi="Times New Roman" w:cs="Times New Roman"/>
              </w:rPr>
            </w:pPr>
          </w:p>
        </w:tc>
      </w:tr>
      <w:tr w:rsidR="00132BB5" w:rsidRPr="00865046" w:rsidTr="00641D14">
        <w:trPr>
          <w:trHeight w:val="296"/>
        </w:trPr>
        <w:tc>
          <w:tcPr>
            <w:tcW w:w="1877" w:type="dxa"/>
          </w:tcPr>
          <w:p w:rsidR="00132BB5" w:rsidRPr="00865046" w:rsidRDefault="00132BB5" w:rsidP="00641D14">
            <w:pPr>
              <w:rPr>
                <w:rFonts w:ascii="Times New Roman" w:eastAsia="Times New Roman" w:hAnsi="Times New Roman" w:cs="Times New Roman"/>
                <w:b/>
              </w:rPr>
            </w:pPr>
            <w:r w:rsidRPr="00865046">
              <w:rPr>
                <w:rFonts w:ascii="Times New Roman" w:eastAsia="Times New Roman" w:hAnsi="Times New Roman" w:cs="Times New Roman"/>
                <w:b/>
              </w:rPr>
              <w:t>P</w:t>
            </w:r>
            <w:r>
              <w:rPr>
                <w:rFonts w:ascii="Times New Roman" w:eastAsia="Times New Roman" w:hAnsi="Times New Roman" w:cs="Times New Roman"/>
                <w:b/>
              </w:rPr>
              <w:t>unkt 5.1</w:t>
            </w:r>
          </w:p>
        </w:tc>
        <w:tc>
          <w:tcPr>
            <w:tcW w:w="3737" w:type="dxa"/>
          </w:tcPr>
          <w:p w:rsidR="00132BB5" w:rsidRPr="00915135" w:rsidRDefault="00132BB5" w:rsidP="00641D14">
            <w:pPr>
              <w:rPr>
                <w:b/>
              </w:rPr>
            </w:pPr>
            <w:r w:rsidRPr="00915135">
              <w:rPr>
                <w:b/>
              </w:rPr>
              <w:t xml:space="preserve">Strategi och mål </w:t>
            </w:r>
          </w:p>
          <w:p w:rsidR="00132BB5" w:rsidRDefault="00132BB5" w:rsidP="00641D14"/>
          <w:p w:rsidR="00132BB5" w:rsidRDefault="00132BB5" w:rsidP="00641D14">
            <w:r>
              <w:t xml:space="preserve">Emittenten ska tillhandahålla en beskrivning av sina avsikter avseende den framtida rörelsen efter transaktionen, däribland en indikation om betydande förändringar som påverkar rörelsen, huvudverksamheter samt produkter och tjänster till följd av transaktionen. </w:t>
            </w:r>
          </w:p>
          <w:p w:rsidR="00132BB5" w:rsidRDefault="00132BB5" w:rsidP="00641D14"/>
          <w:p w:rsidR="00132BB5" w:rsidRDefault="00132BB5" w:rsidP="00641D14">
            <w:r>
              <w:t xml:space="preserve">I förekommande fall ska informationen innehålla en beskrivning av framtidsutsikter och eventuell omstrukturering och/eller omorganisation. </w:t>
            </w:r>
          </w:p>
          <w:p w:rsidR="00132BB5" w:rsidRPr="00641D14" w:rsidRDefault="00132BB5" w:rsidP="00641D14"/>
        </w:tc>
        <w:tc>
          <w:tcPr>
            <w:tcW w:w="1891" w:type="dxa"/>
          </w:tcPr>
          <w:p w:rsidR="00132BB5" w:rsidRPr="00865046" w:rsidRDefault="00132BB5" w:rsidP="00641D14">
            <w:pPr>
              <w:rPr>
                <w:rFonts w:ascii="Times New Roman" w:eastAsia="Times New Roman" w:hAnsi="Times New Roman" w:cs="Times New Roman"/>
                <w:b/>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132BB5" w:rsidRPr="00865046" w:rsidRDefault="00132BB5" w:rsidP="00641D14">
            <w:pPr>
              <w:rPr>
                <w:rFonts w:ascii="Times New Roman" w:eastAsia="Times New Roman" w:hAnsi="Times New Roman" w:cs="Times New Roman"/>
                <w:b/>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132BB5" w:rsidRPr="00865046" w:rsidTr="00641D14">
        <w:trPr>
          <w:trHeight w:val="296"/>
        </w:trPr>
        <w:tc>
          <w:tcPr>
            <w:tcW w:w="1877" w:type="dxa"/>
          </w:tcPr>
          <w:p w:rsidR="00132BB5" w:rsidRPr="00865046" w:rsidRDefault="00132BB5" w:rsidP="00641D14">
            <w:pPr>
              <w:rPr>
                <w:rFonts w:ascii="Times New Roman" w:eastAsia="Times New Roman" w:hAnsi="Times New Roman" w:cs="Times New Roman"/>
                <w:b/>
              </w:rPr>
            </w:pPr>
            <w:r w:rsidRPr="00865046">
              <w:rPr>
                <w:rFonts w:ascii="Times New Roman" w:eastAsia="Times New Roman" w:hAnsi="Times New Roman" w:cs="Times New Roman"/>
                <w:b/>
              </w:rPr>
              <w:lastRenderedPageBreak/>
              <w:t>P</w:t>
            </w:r>
            <w:r>
              <w:rPr>
                <w:rFonts w:ascii="Times New Roman" w:eastAsia="Times New Roman" w:hAnsi="Times New Roman" w:cs="Times New Roman"/>
                <w:b/>
              </w:rPr>
              <w:t>unkt 5.2</w:t>
            </w:r>
          </w:p>
        </w:tc>
        <w:tc>
          <w:tcPr>
            <w:tcW w:w="3737" w:type="dxa"/>
          </w:tcPr>
          <w:p w:rsidR="00132BB5" w:rsidRPr="00915135" w:rsidRDefault="00132BB5" w:rsidP="00641D14">
            <w:pPr>
              <w:rPr>
                <w:b/>
              </w:rPr>
            </w:pPr>
            <w:r w:rsidRPr="00915135">
              <w:rPr>
                <w:b/>
              </w:rPr>
              <w:t xml:space="preserve">Väsentliga kontrakt </w:t>
            </w:r>
          </w:p>
          <w:p w:rsidR="00132BB5" w:rsidRDefault="00132BB5" w:rsidP="00641D14"/>
          <w:p w:rsidR="00132BB5" w:rsidRDefault="00132BB5" w:rsidP="00641D14">
            <w:r>
              <w:t>En kort sammanfattning av samtliga väsentliga kontrakt emittenten, målbolaget, företaget som förvärvas eller företaget som delas har ingått, annat än kontrakt som ingåtts som del av ordinarie verksamhet, som påverkas väsentligen av transaktionen.</w:t>
            </w:r>
          </w:p>
          <w:p w:rsidR="00132BB5" w:rsidRPr="00865046" w:rsidRDefault="00132BB5" w:rsidP="00641D14">
            <w:pPr>
              <w:rPr>
                <w:rFonts w:ascii="Times New Roman" w:eastAsia="Times New Roman" w:hAnsi="Times New Roman" w:cs="Times New Roman"/>
              </w:rPr>
            </w:pPr>
          </w:p>
        </w:tc>
        <w:tc>
          <w:tcPr>
            <w:tcW w:w="1891"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132BB5" w:rsidRPr="00865046" w:rsidTr="00641D14">
        <w:trPr>
          <w:trHeight w:val="296"/>
        </w:trPr>
        <w:tc>
          <w:tcPr>
            <w:tcW w:w="1877" w:type="dxa"/>
          </w:tcPr>
          <w:p w:rsidR="00132BB5" w:rsidRPr="00865046" w:rsidRDefault="00132BB5" w:rsidP="00641D14">
            <w:pPr>
              <w:rPr>
                <w:rFonts w:ascii="Times New Roman" w:eastAsia="Times New Roman" w:hAnsi="Times New Roman" w:cs="Times New Roman"/>
                <w:b/>
              </w:rPr>
            </w:pPr>
            <w:r w:rsidRPr="00865046">
              <w:rPr>
                <w:rFonts w:ascii="Times New Roman" w:eastAsia="Times New Roman" w:hAnsi="Times New Roman" w:cs="Times New Roman"/>
                <w:b/>
              </w:rPr>
              <w:t>P</w:t>
            </w:r>
            <w:r>
              <w:rPr>
                <w:rFonts w:ascii="Times New Roman" w:eastAsia="Times New Roman" w:hAnsi="Times New Roman" w:cs="Times New Roman"/>
                <w:b/>
              </w:rPr>
              <w:t>unkt 5.3</w:t>
            </w:r>
          </w:p>
        </w:tc>
        <w:tc>
          <w:tcPr>
            <w:tcW w:w="7665" w:type="dxa"/>
            <w:gridSpan w:val="3"/>
          </w:tcPr>
          <w:p w:rsidR="00132BB5" w:rsidRPr="00915135" w:rsidRDefault="00132BB5" w:rsidP="00641D14">
            <w:pPr>
              <w:rPr>
                <w:b/>
              </w:rPr>
            </w:pPr>
            <w:r w:rsidRPr="00915135">
              <w:rPr>
                <w:b/>
              </w:rPr>
              <w:t xml:space="preserve">Avyttring </w:t>
            </w:r>
          </w:p>
          <w:p w:rsidR="00132BB5" w:rsidRPr="00865046" w:rsidRDefault="00132BB5" w:rsidP="00641D14">
            <w:pPr>
              <w:rPr>
                <w:rFonts w:ascii="Times New Roman" w:eastAsia="Times New Roman" w:hAnsi="Times New Roman" w:cs="Times New Roman"/>
              </w:rPr>
            </w:pPr>
          </w:p>
        </w:tc>
      </w:tr>
      <w:tr w:rsidR="00132BB5" w:rsidRPr="00865046" w:rsidTr="00641D14">
        <w:trPr>
          <w:trHeight w:val="296"/>
        </w:trPr>
        <w:tc>
          <w:tcPr>
            <w:tcW w:w="1877" w:type="dxa"/>
          </w:tcPr>
          <w:p w:rsidR="00132BB5" w:rsidRPr="00865046" w:rsidRDefault="00132BB5" w:rsidP="00641D14">
            <w:pPr>
              <w:rPr>
                <w:rFonts w:ascii="Times New Roman" w:eastAsia="Times New Roman" w:hAnsi="Times New Roman" w:cs="Times New Roman"/>
                <w:b/>
              </w:rPr>
            </w:pPr>
            <w:r w:rsidRPr="00865046">
              <w:rPr>
                <w:rFonts w:ascii="Times New Roman" w:eastAsia="Times New Roman" w:hAnsi="Times New Roman" w:cs="Times New Roman"/>
                <w:b/>
              </w:rPr>
              <w:t>Punkt</w:t>
            </w:r>
            <w:r>
              <w:rPr>
                <w:rFonts w:ascii="Times New Roman" w:eastAsia="Times New Roman" w:hAnsi="Times New Roman" w:cs="Times New Roman"/>
                <w:b/>
              </w:rPr>
              <w:t xml:space="preserve"> 5.3.1</w:t>
            </w:r>
          </w:p>
          <w:p w:rsidR="00132BB5" w:rsidRPr="00865046" w:rsidRDefault="00132BB5" w:rsidP="00641D14">
            <w:pPr>
              <w:rPr>
                <w:rFonts w:ascii="Times New Roman" w:eastAsia="Times New Roman" w:hAnsi="Times New Roman" w:cs="Times New Roman"/>
                <w:b/>
              </w:rPr>
            </w:pPr>
          </w:p>
        </w:tc>
        <w:tc>
          <w:tcPr>
            <w:tcW w:w="3737" w:type="dxa"/>
          </w:tcPr>
          <w:p w:rsidR="00132BB5" w:rsidRDefault="00132BB5" w:rsidP="00641D14">
            <w:r>
              <w:t>I den mån det är känt, information om väsentliga avyttringar såsom väsentlig försäljning av dotterbolag eller någon större affärsrörelse efter transaktionens fullbordande, tillsammans med en beskrivning av möjliga konsekvenser för emittentens koncern.</w:t>
            </w:r>
          </w:p>
          <w:p w:rsidR="00132BB5" w:rsidRPr="00865046" w:rsidRDefault="00132BB5" w:rsidP="00641D14">
            <w:pPr>
              <w:rPr>
                <w:rFonts w:ascii="Times New Roman" w:eastAsia="Times New Roman" w:hAnsi="Times New Roman" w:cs="Times New Roman"/>
              </w:rPr>
            </w:pPr>
          </w:p>
        </w:tc>
        <w:tc>
          <w:tcPr>
            <w:tcW w:w="1891"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132BB5" w:rsidRPr="00865046" w:rsidTr="00641D14">
        <w:trPr>
          <w:trHeight w:val="296"/>
        </w:trPr>
        <w:tc>
          <w:tcPr>
            <w:tcW w:w="1877" w:type="dxa"/>
          </w:tcPr>
          <w:p w:rsidR="00132BB5" w:rsidRPr="00865046" w:rsidRDefault="00132BB5" w:rsidP="00641D14">
            <w:pPr>
              <w:rPr>
                <w:rFonts w:ascii="Times New Roman" w:eastAsia="Times New Roman" w:hAnsi="Times New Roman" w:cs="Times New Roman"/>
                <w:b/>
              </w:rPr>
            </w:pPr>
            <w:r w:rsidRPr="00865046">
              <w:rPr>
                <w:rFonts w:ascii="Times New Roman" w:eastAsia="Times New Roman" w:hAnsi="Times New Roman" w:cs="Times New Roman"/>
                <w:b/>
              </w:rPr>
              <w:t>P</w:t>
            </w:r>
            <w:r>
              <w:rPr>
                <w:rFonts w:ascii="Times New Roman" w:eastAsia="Times New Roman" w:hAnsi="Times New Roman" w:cs="Times New Roman"/>
                <w:b/>
              </w:rPr>
              <w:t>unkt 5.3.2</w:t>
            </w:r>
          </w:p>
          <w:p w:rsidR="00132BB5" w:rsidRPr="00865046" w:rsidRDefault="00132BB5" w:rsidP="00641D14">
            <w:pPr>
              <w:rPr>
                <w:rFonts w:ascii="Times New Roman" w:eastAsia="Times New Roman" w:hAnsi="Times New Roman" w:cs="Times New Roman"/>
                <w:b/>
              </w:rPr>
            </w:pPr>
          </w:p>
        </w:tc>
        <w:tc>
          <w:tcPr>
            <w:tcW w:w="3737" w:type="dxa"/>
          </w:tcPr>
          <w:p w:rsidR="00132BB5" w:rsidRPr="00865046" w:rsidRDefault="00132BB5">
            <w:pPr>
              <w:rPr>
                <w:rFonts w:ascii="Times New Roman" w:eastAsia="Times New Roman" w:hAnsi="Times New Roman" w:cs="Times New Roman"/>
              </w:rPr>
            </w:pPr>
            <w:r>
              <w:t>Information om eventuell väsentliga annulleringar av framtida investeringar eller avyttringar som tidigare meddelats.</w:t>
            </w:r>
          </w:p>
        </w:tc>
        <w:tc>
          <w:tcPr>
            <w:tcW w:w="1891"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132BB5" w:rsidRPr="00865046" w:rsidTr="00641D14">
        <w:trPr>
          <w:trHeight w:val="296"/>
        </w:trPr>
        <w:tc>
          <w:tcPr>
            <w:tcW w:w="1877" w:type="dxa"/>
          </w:tcPr>
          <w:p w:rsidR="00132BB5" w:rsidRPr="00865046" w:rsidRDefault="00132BB5" w:rsidP="00641D14">
            <w:pPr>
              <w:rPr>
                <w:rFonts w:ascii="Times New Roman" w:eastAsia="Times New Roman" w:hAnsi="Times New Roman" w:cs="Times New Roman"/>
                <w:b/>
              </w:rPr>
            </w:pPr>
            <w:r w:rsidRPr="00865046">
              <w:rPr>
                <w:rFonts w:ascii="Times New Roman" w:eastAsia="Times New Roman" w:hAnsi="Times New Roman" w:cs="Times New Roman"/>
                <w:b/>
              </w:rPr>
              <w:t>P</w:t>
            </w:r>
            <w:r>
              <w:rPr>
                <w:rFonts w:ascii="Times New Roman" w:eastAsia="Times New Roman" w:hAnsi="Times New Roman" w:cs="Times New Roman"/>
                <w:b/>
              </w:rPr>
              <w:t>unkt 5.4</w:t>
            </w:r>
          </w:p>
          <w:p w:rsidR="00132BB5" w:rsidRPr="00865046" w:rsidRDefault="00132BB5" w:rsidP="00641D14">
            <w:pPr>
              <w:rPr>
                <w:rFonts w:ascii="Times New Roman" w:eastAsia="Times New Roman" w:hAnsi="Times New Roman" w:cs="Times New Roman"/>
                <w:b/>
              </w:rPr>
            </w:pPr>
          </w:p>
        </w:tc>
        <w:tc>
          <w:tcPr>
            <w:tcW w:w="3737" w:type="dxa"/>
          </w:tcPr>
          <w:p w:rsidR="00132BB5" w:rsidRDefault="00132BB5" w:rsidP="00641D14">
            <w:r w:rsidRPr="00915135">
              <w:rPr>
                <w:b/>
              </w:rPr>
              <w:t>Företagsstyrning</w:t>
            </w:r>
            <w:r>
              <w:t xml:space="preserve"> </w:t>
            </w:r>
            <w:r>
              <w:br/>
            </w:r>
            <w:r>
              <w:br/>
              <w:t xml:space="preserve">a) I den mån som emittenten har kännedom, namn, affärsadresser och funktioner inom emittenten för de personer som omedelbart efter transaktionen kommer att vara medlemmar i förvaltnings-, lednings- eller tillsynsorganen och, i händelse av ett aktiekommanditbolag, partner med obegränsat ansvar. </w:t>
            </w:r>
            <w:r>
              <w:br/>
            </w:r>
            <w:r>
              <w:br/>
              <w:t xml:space="preserve">b) Eventuella intressekonflikter som kan uppstå till följd av att de personer som avses i punkt a utför sina åtaganden gentemot emittenten och deras privata intressen eller andra skyldigheter ska tydligt anges. Om det inte föreligger några sådana intressekonflikter ska detta faktum anges. </w:t>
            </w:r>
            <w:r>
              <w:br/>
            </w:r>
            <w:r>
              <w:br/>
              <w:t xml:space="preserve">c) Information om sådana begränsningar som överenskommits mellan personerna som avses i punkt a angående avyttrande av innehav av emittentens aktierelaterade värdepapper inom en viss tidsperiod efter transaktionen. </w:t>
            </w:r>
          </w:p>
          <w:p w:rsidR="00132BB5" w:rsidRPr="00865046" w:rsidRDefault="00132BB5" w:rsidP="00641D14">
            <w:pPr>
              <w:rPr>
                <w:rFonts w:ascii="Times New Roman" w:eastAsia="Times New Roman" w:hAnsi="Times New Roman" w:cs="Times New Roman"/>
              </w:rPr>
            </w:pPr>
          </w:p>
        </w:tc>
        <w:tc>
          <w:tcPr>
            <w:tcW w:w="1891"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132BB5" w:rsidRPr="00865046" w:rsidTr="00641D14">
        <w:trPr>
          <w:trHeight w:val="296"/>
        </w:trPr>
        <w:tc>
          <w:tcPr>
            <w:tcW w:w="1877" w:type="dxa"/>
          </w:tcPr>
          <w:p w:rsidR="00132BB5" w:rsidRPr="00865046" w:rsidRDefault="00132BB5" w:rsidP="00641D14">
            <w:pPr>
              <w:rPr>
                <w:rFonts w:ascii="Times New Roman" w:eastAsia="Times New Roman" w:hAnsi="Times New Roman" w:cs="Times New Roman"/>
                <w:b/>
              </w:rPr>
            </w:pPr>
            <w:r w:rsidRPr="00865046">
              <w:rPr>
                <w:rFonts w:ascii="Times New Roman" w:eastAsia="Times New Roman" w:hAnsi="Times New Roman" w:cs="Times New Roman"/>
                <w:b/>
              </w:rPr>
              <w:t>P</w:t>
            </w:r>
            <w:r>
              <w:rPr>
                <w:rFonts w:ascii="Times New Roman" w:eastAsia="Times New Roman" w:hAnsi="Times New Roman" w:cs="Times New Roman"/>
                <w:b/>
              </w:rPr>
              <w:t>unkt 5.5</w:t>
            </w:r>
          </w:p>
          <w:p w:rsidR="00132BB5" w:rsidRPr="00865046" w:rsidRDefault="00132BB5" w:rsidP="00641D14">
            <w:pPr>
              <w:rPr>
                <w:rFonts w:ascii="Times New Roman" w:eastAsia="Times New Roman" w:hAnsi="Times New Roman" w:cs="Times New Roman"/>
                <w:b/>
              </w:rPr>
            </w:pPr>
          </w:p>
        </w:tc>
        <w:tc>
          <w:tcPr>
            <w:tcW w:w="3737" w:type="dxa"/>
          </w:tcPr>
          <w:p w:rsidR="00132BB5" w:rsidRPr="00915135" w:rsidRDefault="00132BB5" w:rsidP="00641D14">
            <w:pPr>
              <w:rPr>
                <w:b/>
              </w:rPr>
            </w:pPr>
            <w:r w:rsidRPr="00915135">
              <w:rPr>
                <w:b/>
              </w:rPr>
              <w:t xml:space="preserve">Aktieinnehav </w:t>
            </w:r>
          </w:p>
          <w:p w:rsidR="00132BB5" w:rsidRDefault="00132BB5" w:rsidP="00641D14"/>
          <w:p w:rsidR="00132BB5" w:rsidRDefault="00132BB5" w:rsidP="00641D14">
            <w:r>
              <w:t>Aktiestrukturen omedelbart efter transaktionen.</w:t>
            </w:r>
          </w:p>
          <w:p w:rsidR="00132BB5" w:rsidRPr="00865046" w:rsidRDefault="00132BB5" w:rsidP="00641D14">
            <w:pPr>
              <w:rPr>
                <w:rFonts w:ascii="Times New Roman" w:eastAsia="Times New Roman" w:hAnsi="Times New Roman" w:cs="Times New Roman"/>
              </w:rPr>
            </w:pPr>
          </w:p>
        </w:tc>
        <w:tc>
          <w:tcPr>
            <w:tcW w:w="1891"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132BB5" w:rsidRPr="00865046" w:rsidTr="00641D14">
        <w:trPr>
          <w:trHeight w:val="296"/>
        </w:trPr>
        <w:tc>
          <w:tcPr>
            <w:tcW w:w="1877" w:type="dxa"/>
          </w:tcPr>
          <w:p w:rsidR="00132BB5" w:rsidRPr="00865046" w:rsidRDefault="00132BB5" w:rsidP="00641D14">
            <w:pPr>
              <w:rPr>
                <w:rFonts w:ascii="Times New Roman" w:eastAsia="Times New Roman" w:hAnsi="Times New Roman" w:cs="Times New Roman"/>
                <w:b/>
              </w:rPr>
            </w:pPr>
            <w:r w:rsidRPr="00865046">
              <w:rPr>
                <w:rFonts w:ascii="Times New Roman" w:eastAsia="Times New Roman" w:hAnsi="Times New Roman" w:cs="Times New Roman"/>
                <w:b/>
              </w:rPr>
              <w:t>P</w:t>
            </w:r>
            <w:r>
              <w:rPr>
                <w:rFonts w:ascii="Times New Roman" w:eastAsia="Times New Roman" w:hAnsi="Times New Roman" w:cs="Times New Roman"/>
                <w:b/>
              </w:rPr>
              <w:t>unkt 5.6</w:t>
            </w:r>
          </w:p>
          <w:p w:rsidR="00132BB5" w:rsidRPr="00865046" w:rsidRDefault="00132BB5" w:rsidP="00641D14">
            <w:pPr>
              <w:rPr>
                <w:rFonts w:ascii="Times New Roman" w:eastAsia="Times New Roman" w:hAnsi="Times New Roman" w:cs="Times New Roman"/>
                <w:b/>
              </w:rPr>
            </w:pPr>
          </w:p>
        </w:tc>
        <w:tc>
          <w:tcPr>
            <w:tcW w:w="7665" w:type="dxa"/>
            <w:gridSpan w:val="3"/>
          </w:tcPr>
          <w:p w:rsidR="00132BB5" w:rsidRPr="00915135" w:rsidRDefault="00132BB5" w:rsidP="00641D14">
            <w:pPr>
              <w:rPr>
                <w:rFonts w:ascii="Times New Roman" w:eastAsia="Times New Roman" w:hAnsi="Times New Roman" w:cs="Times New Roman"/>
                <w:b/>
              </w:rPr>
            </w:pPr>
            <w:r w:rsidRPr="00915135">
              <w:rPr>
                <w:b/>
              </w:rPr>
              <w:t>Proformaredovisning</w:t>
            </w:r>
          </w:p>
        </w:tc>
      </w:tr>
      <w:tr w:rsidR="00132BB5" w:rsidRPr="00865046" w:rsidTr="00641D14">
        <w:trPr>
          <w:trHeight w:val="296"/>
        </w:trPr>
        <w:tc>
          <w:tcPr>
            <w:tcW w:w="1877" w:type="dxa"/>
          </w:tcPr>
          <w:p w:rsidR="00132BB5" w:rsidRPr="00865046" w:rsidRDefault="00132BB5" w:rsidP="00641D14">
            <w:pPr>
              <w:rPr>
                <w:rFonts w:ascii="Times New Roman" w:eastAsia="Times New Roman" w:hAnsi="Times New Roman" w:cs="Times New Roman"/>
                <w:b/>
              </w:rPr>
            </w:pPr>
            <w:r w:rsidRPr="00865046">
              <w:rPr>
                <w:rFonts w:ascii="Times New Roman" w:eastAsia="Times New Roman" w:hAnsi="Times New Roman" w:cs="Times New Roman"/>
                <w:b/>
              </w:rPr>
              <w:t>P</w:t>
            </w:r>
            <w:r>
              <w:rPr>
                <w:rFonts w:ascii="Times New Roman" w:eastAsia="Times New Roman" w:hAnsi="Times New Roman" w:cs="Times New Roman"/>
                <w:b/>
              </w:rPr>
              <w:t>unkt 5.6.1</w:t>
            </w:r>
          </w:p>
          <w:p w:rsidR="00132BB5" w:rsidRPr="00865046" w:rsidRDefault="00132BB5" w:rsidP="00641D14">
            <w:pPr>
              <w:rPr>
                <w:rFonts w:ascii="Times New Roman" w:eastAsia="Times New Roman" w:hAnsi="Times New Roman" w:cs="Times New Roman"/>
                <w:b/>
              </w:rPr>
            </w:pPr>
          </w:p>
        </w:tc>
        <w:tc>
          <w:tcPr>
            <w:tcW w:w="3737" w:type="dxa"/>
          </w:tcPr>
          <w:p w:rsidR="00132BB5" w:rsidRDefault="00132BB5">
            <w:r>
              <w:t xml:space="preserve">Vid en betydande bruttoförändring enligt definitionen i artikel 1 e i delegerad </w:t>
            </w:r>
            <w:r>
              <w:lastRenderedPageBreak/>
              <w:t xml:space="preserve">förordning (EU) 2019/980, en beskrivning av hur transaktionen kan ha påverkat tillgångar, skulder och inkomster för emittenten om transaktionen hade utförts i början av den period som rapporten omfattar eller på det rapporterade datumet. </w:t>
            </w:r>
          </w:p>
          <w:p w:rsidR="00132BB5" w:rsidRDefault="00132BB5">
            <w:r>
              <w:t xml:space="preserve">Detta krav uppfylls normalt genom proformaredovisning. Denna proformaredovisning ska presenteras i enlighet med punkt 5.7–5.9 och måste innehålla den information som anges däri. </w:t>
            </w:r>
          </w:p>
          <w:p w:rsidR="00132BB5" w:rsidRDefault="00132BB5"/>
          <w:p w:rsidR="00132BB5" w:rsidRDefault="00132BB5">
            <w:r>
              <w:t>Proformaredovisningen ska åtföljas av en rapport som utarbetats av oberoende redovisningsexperter eller revisorer.</w:t>
            </w:r>
          </w:p>
          <w:p w:rsidR="00132BB5" w:rsidRPr="00865046" w:rsidRDefault="00132BB5">
            <w:pPr>
              <w:rPr>
                <w:rFonts w:ascii="Times New Roman" w:eastAsia="Times New Roman" w:hAnsi="Times New Roman" w:cs="Times New Roman"/>
              </w:rPr>
            </w:pPr>
          </w:p>
        </w:tc>
        <w:tc>
          <w:tcPr>
            <w:tcW w:w="1891"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lastRenderedPageBreak/>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132BB5" w:rsidRPr="00865046" w:rsidTr="00641D14">
        <w:trPr>
          <w:trHeight w:val="296"/>
        </w:trPr>
        <w:tc>
          <w:tcPr>
            <w:tcW w:w="1877" w:type="dxa"/>
          </w:tcPr>
          <w:p w:rsidR="00132BB5" w:rsidRPr="00865046" w:rsidRDefault="00132BB5" w:rsidP="00641D14">
            <w:pPr>
              <w:rPr>
                <w:rFonts w:ascii="Times New Roman" w:eastAsia="Times New Roman" w:hAnsi="Times New Roman" w:cs="Times New Roman"/>
                <w:b/>
              </w:rPr>
            </w:pPr>
            <w:r w:rsidRPr="00865046">
              <w:rPr>
                <w:rFonts w:ascii="Times New Roman" w:eastAsia="Times New Roman" w:hAnsi="Times New Roman" w:cs="Times New Roman"/>
                <w:b/>
              </w:rPr>
              <w:t>P</w:t>
            </w:r>
            <w:r>
              <w:rPr>
                <w:rFonts w:ascii="Times New Roman" w:eastAsia="Times New Roman" w:hAnsi="Times New Roman" w:cs="Times New Roman"/>
                <w:b/>
              </w:rPr>
              <w:t>unkt 5.6.2</w:t>
            </w:r>
          </w:p>
          <w:p w:rsidR="00132BB5" w:rsidRPr="00865046" w:rsidRDefault="00132BB5" w:rsidP="00641D14">
            <w:pPr>
              <w:rPr>
                <w:rFonts w:ascii="Times New Roman" w:eastAsia="Times New Roman" w:hAnsi="Times New Roman" w:cs="Times New Roman"/>
                <w:b/>
              </w:rPr>
            </w:pPr>
          </w:p>
        </w:tc>
        <w:tc>
          <w:tcPr>
            <w:tcW w:w="3737" w:type="dxa"/>
          </w:tcPr>
          <w:p w:rsidR="00132BB5" w:rsidRDefault="00132BB5" w:rsidP="00641D14">
            <w:r>
              <w:t xml:space="preserve">Om en finansiell proformaredovisning inte kan tillämpas ska emittenten tillhandahålla en berättelse och finansiell information om de väsentliga konsekvenser som transaktionen kommer att ha på emittentens redovisningar. Berättelsen och den finansiella informationen behöver inte revideras. </w:t>
            </w:r>
          </w:p>
          <w:p w:rsidR="00132BB5" w:rsidRDefault="00132BB5" w:rsidP="00641D14"/>
          <w:p w:rsidR="00132BB5" w:rsidRDefault="00132BB5" w:rsidP="00641D14">
            <w:r>
              <w:t xml:space="preserve">Berättelsen och den finansiella informationen ska utarbetas i överensstämmelse med gällande ramar om redovisning och de redovisningsprinciper som emittenten använder i sitt senaste eller kommande årsbokslut. När informationen revideras ska undantagsdokumentet innehålla information om att informationen är reviderad samt information om de revisorer som utförde revisionen. </w:t>
            </w:r>
          </w:p>
          <w:p w:rsidR="00132BB5" w:rsidRPr="00865046" w:rsidRDefault="00132BB5" w:rsidP="00641D14">
            <w:pPr>
              <w:rPr>
                <w:rFonts w:ascii="Times New Roman" w:eastAsia="Times New Roman" w:hAnsi="Times New Roman" w:cs="Times New Roman"/>
              </w:rPr>
            </w:pPr>
          </w:p>
        </w:tc>
        <w:tc>
          <w:tcPr>
            <w:tcW w:w="1891"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132BB5" w:rsidRPr="00865046" w:rsidTr="00641D14">
        <w:trPr>
          <w:trHeight w:val="296"/>
        </w:trPr>
        <w:tc>
          <w:tcPr>
            <w:tcW w:w="1877" w:type="dxa"/>
          </w:tcPr>
          <w:p w:rsidR="00132BB5" w:rsidRPr="00865046" w:rsidRDefault="00132BB5" w:rsidP="00641D14">
            <w:pPr>
              <w:rPr>
                <w:rFonts w:ascii="Times New Roman" w:eastAsia="Times New Roman" w:hAnsi="Times New Roman" w:cs="Times New Roman"/>
                <w:b/>
              </w:rPr>
            </w:pPr>
            <w:r w:rsidRPr="00865046">
              <w:rPr>
                <w:rFonts w:ascii="Times New Roman" w:eastAsia="Times New Roman" w:hAnsi="Times New Roman" w:cs="Times New Roman"/>
                <w:b/>
              </w:rPr>
              <w:t>P</w:t>
            </w:r>
            <w:r w:rsidR="00EA6AF8">
              <w:rPr>
                <w:rFonts w:ascii="Times New Roman" w:eastAsia="Times New Roman" w:hAnsi="Times New Roman" w:cs="Times New Roman"/>
                <w:b/>
              </w:rPr>
              <w:t>unkt 5.7</w:t>
            </w:r>
          </w:p>
        </w:tc>
        <w:tc>
          <w:tcPr>
            <w:tcW w:w="3737" w:type="dxa"/>
          </w:tcPr>
          <w:p w:rsidR="00EA6AF8" w:rsidRPr="00915135" w:rsidRDefault="00EA6AF8" w:rsidP="00641D14">
            <w:pPr>
              <w:rPr>
                <w:b/>
              </w:rPr>
            </w:pPr>
            <w:r w:rsidRPr="00915135">
              <w:rPr>
                <w:b/>
              </w:rPr>
              <w:t>Innehållet i proformaredovisningen</w:t>
            </w:r>
          </w:p>
          <w:p w:rsidR="00EA6AF8" w:rsidRDefault="00EA6AF8" w:rsidP="00641D14"/>
          <w:p w:rsidR="00EA6AF8" w:rsidRDefault="00EA6AF8" w:rsidP="00641D14">
            <w:r>
              <w:t xml:space="preserve">Proformaredovisningen ska bestå av följande: </w:t>
            </w:r>
            <w:r>
              <w:br/>
            </w:r>
            <w:r>
              <w:br/>
              <w:t xml:space="preserve">a) En inledning som anger </w:t>
            </w:r>
            <w:r>
              <w:br/>
            </w:r>
            <w:r>
              <w:br/>
              <w:t xml:space="preserve">i) det syfte för vilket proformaredovisningen har utarbetats, varibland en beskrivning av uppköpserbjudandet genom erbjudande om utbyte, fusion och delning eller det betydande åtagandet samt involverade företag eller enheter, </w:t>
            </w:r>
            <w:r>
              <w:br/>
            </w:r>
            <w:r>
              <w:br/>
              <w:t xml:space="preserve">ii) den period och/eller dag som täcks av proformaredovisningen, </w:t>
            </w:r>
            <w:r>
              <w:br/>
            </w:r>
            <w:r>
              <w:br/>
              <w:t xml:space="preserve">iii) det faktum att proformaredovisningen endast har ett illustrerande syfte, </w:t>
            </w:r>
            <w:r>
              <w:br/>
            </w:r>
            <w:r>
              <w:br/>
              <w:t xml:space="preserve">iv) att </w:t>
            </w:r>
            <w:r>
              <w:br/>
            </w:r>
            <w:r>
              <w:br/>
              <w:t xml:space="preserve">A) proformaredovisningen illustrerar </w:t>
            </w:r>
            <w:r>
              <w:lastRenderedPageBreak/>
              <w:t xml:space="preserve">effekterna av transaktionen som om transaktionen hade utförts på ett tidigare datum, </w:t>
            </w:r>
            <w:r>
              <w:br/>
            </w:r>
            <w:r>
              <w:br/>
              <w:t xml:space="preserve">B) den hypotetiska finansiella ställning eller det hypotetiska resultat som anges i proformaredovisningen kan skilja sig från enhetens faktiska finansiella ställning eller resultat. </w:t>
            </w:r>
            <w:r>
              <w:br/>
            </w:r>
            <w:r>
              <w:br/>
              <w:t xml:space="preserve">b) En resultaträkning eller balansräkning eller båda, som beroende på omständigheterna presenteras i ett kolumnformat och innehåller </w:t>
            </w:r>
            <w:r>
              <w:br/>
            </w:r>
            <w:r>
              <w:br/>
              <w:t xml:space="preserve">i) historisk ojusterad information, </w:t>
            </w:r>
            <w:r>
              <w:br/>
            </w:r>
            <w:r>
              <w:br/>
              <w:t xml:space="preserve">ii) justeringar av redovisningsprinciper, vid behov, </w:t>
            </w:r>
            <w:r>
              <w:br/>
            </w:r>
            <w:r>
              <w:br/>
              <w:t xml:space="preserve">iii) proformajusteringar, </w:t>
            </w:r>
            <w:r>
              <w:br/>
            </w:r>
            <w:r>
              <w:br/>
              <w:t xml:space="preserve">iv) resultaten av proformaredovisningen i den sista kolumnen. </w:t>
            </w:r>
            <w:r>
              <w:br/>
            </w:r>
            <w:r>
              <w:br/>
              <w:t xml:space="preserve">c) Åtföljande noter som anger </w:t>
            </w:r>
            <w:r>
              <w:br/>
            </w:r>
            <w:r>
              <w:br/>
              <w:t xml:space="preserve">i) de källor från vilka den ojusterade finansiella informationen har hämtats och huruvida en revisions- eller granskningsrapport rörande dessa källor har offentliggjorts, </w:t>
            </w:r>
            <w:r>
              <w:br/>
            </w:r>
            <w:r>
              <w:br/>
              <w:t xml:space="preserve">ii) den grund på vilken proformaredovisningen utarbetas, </w:t>
            </w:r>
            <w:r>
              <w:br/>
            </w:r>
            <w:r>
              <w:br/>
              <w:t xml:space="preserve">iii) källan och motivet till varje justering, </w:t>
            </w:r>
            <w:r>
              <w:br/>
            </w:r>
            <w:r>
              <w:br/>
              <w:t xml:space="preserve">iv) huruvida respektive justering avseende en proformaresultaträkning väntas ha en kontinuerlig inverkan på emittenten. </w:t>
            </w:r>
          </w:p>
          <w:p w:rsidR="00EA6AF8" w:rsidRDefault="00EA6AF8" w:rsidP="00641D14"/>
          <w:p w:rsidR="00132BB5" w:rsidRDefault="00EA6AF8" w:rsidP="00641D14">
            <w:r>
              <w:t xml:space="preserve">d) I tillämpliga fall och i den utsträckning som detta inte täcks i andra delar av undantagsdokumentet ska den finansiella information och de halvårsrapporter som avser företag eller enheter som förvärvats eller ska förvärvas och som använts vid utarbetandet av denna proformaredovisning ingå i undantagsdokumentet. På liknande vis ska i händelse av delning finansiell information om ett företag som delas ingå. </w:t>
            </w:r>
          </w:p>
          <w:p w:rsidR="00EA6AF8" w:rsidRPr="00865046" w:rsidRDefault="00EA6AF8" w:rsidP="00641D14">
            <w:pPr>
              <w:rPr>
                <w:rFonts w:ascii="Times New Roman" w:eastAsia="Times New Roman" w:hAnsi="Times New Roman" w:cs="Times New Roman"/>
                <w:b/>
              </w:rPr>
            </w:pPr>
          </w:p>
        </w:tc>
        <w:tc>
          <w:tcPr>
            <w:tcW w:w="1891"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lastRenderedPageBreak/>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132BB5" w:rsidRPr="00865046" w:rsidTr="00641D14">
        <w:trPr>
          <w:trHeight w:val="296"/>
        </w:trPr>
        <w:tc>
          <w:tcPr>
            <w:tcW w:w="1877" w:type="dxa"/>
          </w:tcPr>
          <w:p w:rsidR="00132BB5" w:rsidRPr="00865046" w:rsidRDefault="00132BB5" w:rsidP="00641D14">
            <w:pPr>
              <w:rPr>
                <w:rFonts w:ascii="Times New Roman" w:eastAsia="Times New Roman" w:hAnsi="Times New Roman" w:cs="Times New Roman"/>
                <w:b/>
              </w:rPr>
            </w:pPr>
            <w:r w:rsidRPr="00865046">
              <w:rPr>
                <w:rFonts w:ascii="Times New Roman" w:eastAsia="Times New Roman" w:hAnsi="Times New Roman" w:cs="Times New Roman"/>
                <w:b/>
              </w:rPr>
              <w:t>P</w:t>
            </w:r>
            <w:r w:rsidR="00EA6AF8">
              <w:rPr>
                <w:rFonts w:ascii="Times New Roman" w:eastAsia="Times New Roman" w:hAnsi="Times New Roman" w:cs="Times New Roman"/>
                <w:b/>
              </w:rPr>
              <w:t>unkt 5.8</w:t>
            </w:r>
          </w:p>
        </w:tc>
        <w:tc>
          <w:tcPr>
            <w:tcW w:w="7665" w:type="dxa"/>
            <w:gridSpan w:val="3"/>
          </w:tcPr>
          <w:p w:rsidR="00132BB5" w:rsidRPr="00915135" w:rsidRDefault="00EA6AF8" w:rsidP="00641D14">
            <w:pPr>
              <w:rPr>
                <w:b/>
              </w:rPr>
            </w:pPr>
            <w:r w:rsidRPr="00915135">
              <w:rPr>
                <w:b/>
              </w:rPr>
              <w:t xml:space="preserve">Principer för utarbetande och presentation av proformaredovisning </w:t>
            </w:r>
          </w:p>
          <w:p w:rsidR="00EA6AF8" w:rsidRPr="00641D14" w:rsidRDefault="00EA6AF8" w:rsidP="00641D14"/>
        </w:tc>
      </w:tr>
      <w:tr w:rsidR="00132BB5" w:rsidRPr="00865046" w:rsidTr="00641D14">
        <w:trPr>
          <w:trHeight w:val="296"/>
        </w:trPr>
        <w:tc>
          <w:tcPr>
            <w:tcW w:w="1877" w:type="dxa"/>
          </w:tcPr>
          <w:p w:rsidR="00132BB5" w:rsidRPr="00865046" w:rsidRDefault="00132BB5" w:rsidP="00641D14">
            <w:pPr>
              <w:rPr>
                <w:rFonts w:ascii="Times New Roman" w:eastAsia="Times New Roman" w:hAnsi="Times New Roman" w:cs="Times New Roman"/>
                <w:b/>
              </w:rPr>
            </w:pPr>
            <w:r w:rsidRPr="00865046">
              <w:rPr>
                <w:rFonts w:ascii="Times New Roman" w:eastAsia="Times New Roman" w:hAnsi="Times New Roman" w:cs="Times New Roman"/>
                <w:b/>
              </w:rPr>
              <w:lastRenderedPageBreak/>
              <w:t>P</w:t>
            </w:r>
            <w:r w:rsidR="00EA6AF8">
              <w:rPr>
                <w:rFonts w:ascii="Times New Roman" w:eastAsia="Times New Roman" w:hAnsi="Times New Roman" w:cs="Times New Roman"/>
                <w:b/>
              </w:rPr>
              <w:t>unkt 5.8.1</w:t>
            </w:r>
          </w:p>
        </w:tc>
        <w:tc>
          <w:tcPr>
            <w:tcW w:w="3737" w:type="dxa"/>
          </w:tcPr>
          <w:p w:rsidR="00EA6AF8" w:rsidRDefault="00EA6AF8" w:rsidP="00641D14">
            <w:r>
              <w:t xml:space="preserve">Proformaredovisningen ska identifieras som sådan, så att den särskiljs från den historiska finansiella informationen. </w:t>
            </w:r>
          </w:p>
          <w:p w:rsidR="00EA6AF8" w:rsidRDefault="00EA6AF8" w:rsidP="00641D14"/>
          <w:p w:rsidR="00132BB5" w:rsidRDefault="00EA6AF8" w:rsidP="00641D14">
            <w:r>
              <w:t xml:space="preserve">Proformaredovisningen ska utarbetas i överensstämmelse med de redovisningsprinciper som emittenten använder i sitt senaste eller kommande årsbokslut. </w:t>
            </w:r>
          </w:p>
          <w:p w:rsidR="00EA6AF8" w:rsidRPr="00865046" w:rsidRDefault="00EA6AF8" w:rsidP="00641D14">
            <w:pPr>
              <w:rPr>
                <w:rFonts w:ascii="Times New Roman" w:eastAsia="Times New Roman" w:hAnsi="Times New Roman" w:cs="Times New Roman"/>
                <w:b/>
              </w:rPr>
            </w:pPr>
          </w:p>
        </w:tc>
        <w:tc>
          <w:tcPr>
            <w:tcW w:w="1891"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132BB5" w:rsidRPr="00865046" w:rsidTr="00641D14">
        <w:trPr>
          <w:trHeight w:val="296"/>
        </w:trPr>
        <w:tc>
          <w:tcPr>
            <w:tcW w:w="1877" w:type="dxa"/>
          </w:tcPr>
          <w:p w:rsidR="00132BB5" w:rsidRPr="00865046" w:rsidRDefault="00132BB5" w:rsidP="00641D14">
            <w:pPr>
              <w:rPr>
                <w:rFonts w:ascii="Times New Roman" w:eastAsia="Times New Roman" w:hAnsi="Times New Roman" w:cs="Times New Roman"/>
                <w:b/>
              </w:rPr>
            </w:pPr>
            <w:r w:rsidRPr="00865046">
              <w:rPr>
                <w:rFonts w:ascii="Times New Roman" w:eastAsia="Times New Roman" w:hAnsi="Times New Roman" w:cs="Times New Roman"/>
                <w:b/>
              </w:rPr>
              <w:t>P</w:t>
            </w:r>
            <w:r w:rsidR="00EA6AF8">
              <w:rPr>
                <w:rFonts w:ascii="Times New Roman" w:eastAsia="Times New Roman" w:hAnsi="Times New Roman" w:cs="Times New Roman"/>
                <w:b/>
              </w:rPr>
              <w:t>unkt 5.8.2</w:t>
            </w:r>
          </w:p>
        </w:tc>
        <w:tc>
          <w:tcPr>
            <w:tcW w:w="3737" w:type="dxa"/>
          </w:tcPr>
          <w:p w:rsidR="00EA6AF8" w:rsidRDefault="00EA6AF8">
            <w:r>
              <w:t xml:space="preserve">Proformaredovisning får bara offentliggöras för </w:t>
            </w:r>
          </w:p>
          <w:p w:rsidR="00EA6AF8" w:rsidRDefault="00EA6AF8"/>
          <w:p w:rsidR="00EA6AF8" w:rsidRDefault="00EA6AF8">
            <w:r>
              <w:t xml:space="preserve">a) den senaste avslutade räkenskapsperioden, </w:t>
            </w:r>
          </w:p>
          <w:p w:rsidR="00EA6AF8" w:rsidRDefault="00EA6AF8"/>
          <w:p w:rsidR="00132BB5" w:rsidRDefault="00EA6AF8">
            <w:r>
              <w:t>b) den senaste delperiod för vilken relevant ojusterad information har offentliggjorts eller tas med i undantagsdokumentet.</w:t>
            </w:r>
          </w:p>
          <w:p w:rsidR="00EA6AF8" w:rsidRPr="00865046" w:rsidRDefault="00EA6AF8">
            <w:pPr>
              <w:rPr>
                <w:rFonts w:ascii="Times New Roman" w:eastAsia="Times New Roman" w:hAnsi="Times New Roman" w:cs="Times New Roman"/>
                <w:b/>
              </w:rPr>
            </w:pPr>
          </w:p>
        </w:tc>
        <w:tc>
          <w:tcPr>
            <w:tcW w:w="1891"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132BB5" w:rsidRPr="00865046" w:rsidTr="00641D14">
        <w:trPr>
          <w:trHeight w:val="296"/>
        </w:trPr>
        <w:tc>
          <w:tcPr>
            <w:tcW w:w="1877" w:type="dxa"/>
          </w:tcPr>
          <w:p w:rsidR="00132BB5" w:rsidRPr="00865046" w:rsidRDefault="00132BB5" w:rsidP="00641D14">
            <w:pPr>
              <w:rPr>
                <w:rFonts w:ascii="Times New Roman" w:eastAsia="Times New Roman" w:hAnsi="Times New Roman" w:cs="Times New Roman"/>
                <w:b/>
              </w:rPr>
            </w:pPr>
            <w:r w:rsidRPr="00865046">
              <w:rPr>
                <w:rFonts w:ascii="Times New Roman" w:eastAsia="Times New Roman" w:hAnsi="Times New Roman" w:cs="Times New Roman"/>
                <w:b/>
              </w:rPr>
              <w:t>P</w:t>
            </w:r>
            <w:r w:rsidR="00EA6AF8">
              <w:rPr>
                <w:rFonts w:ascii="Times New Roman" w:eastAsia="Times New Roman" w:hAnsi="Times New Roman" w:cs="Times New Roman"/>
                <w:b/>
              </w:rPr>
              <w:t>unkt 5.8.3</w:t>
            </w:r>
          </w:p>
        </w:tc>
        <w:tc>
          <w:tcPr>
            <w:tcW w:w="3737" w:type="dxa"/>
          </w:tcPr>
          <w:p w:rsidR="00EA6AF8" w:rsidRDefault="00EA6AF8" w:rsidP="00641D14">
            <w:r>
              <w:t xml:space="preserve">Proformajusteringar ska </w:t>
            </w:r>
          </w:p>
          <w:p w:rsidR="00EA6AF8" w:rsidRDefault="00EA6AF8" w:rsidP="00641D14"/>
          <w:p w:rsidR="00EA6AF8" w:rsidRDefault="00EA6AF8" w:rsidP="00641D14">
            <w:r>
              <w:t xml:space="preserve">a) vara tydligt angivna och förklarade, </w:t>
            </w:r>
          </w:p>
          <w:p w:rsidR="00EA6AF8" w:rsidRDefault="00EA6AF8" w:rsidP="00641D14"/>
          <w:p w:rsidR="00EA6AF8" w:rsidRDefault="00EA6AF8" w:rsidP="00641D14">
            <w:r>
              <w:t xml:space="preserve">b) presentera alla betydande effekter som direkt kan hänföras till transaktionen, </w:t>
            </w:r>
          </w:p>
          <w:p w:rsidR="00EA6AF8" w:rsidRDefault="00EA6AF8" w:rsidP="00641D14"/>
          <w:p w:rsidR="00132BB5" w:rsidRDefault="00EA6AF8" w:rsidP="00641D14">
            <w:r>
              <w:t xml:space="preserve">c) ha stöd i sakförhållandena. </w:t>
            </w:r>
          </w:p>
          <w:p w:rsidR="00EA6AF8" w:rsidRPr="00865046" w:rsidRDefault="00EA6AF8" w:rsidP="00641D14">
            <w:pPr>
              <w:rPr>
                <w:rFonts w:ascii="Times New Roman" w:eastAsia="Times New Roman" w:hAnsi="Times New Roman" w:cs="Times New Roman"/>
                <w:b/>
              </w:rPr>
            </w:pPr>
          </w:p>
        </w:tc>
        <w:tc>
          <w:tcPr>
            <w:tcW w:w="1891"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r w:rsidR="00132BB5" w:rsidRPr="00865046" w:rsidTr="00641D14">
        <w:trPr>
          <w:trHeight w:val="296"/>
        </w:trPr>
        <w:tc>
          <w:tcPr>
            <w:tcW w:w="1877" w:type="dxa"/>
          </w:tcPr>
          <w:p w:rsidR="00132BB5" w:rsidRDefault="00132BB5" w:rsidP="00641D14">
            <w:pPr>
              <w:rPr>
                <w:rFonts w:ascii="Times New Roman" w:eastAsia="Times New Roman" w:hAnsi="Times New Roman" w:cs="Times New Roman"/>
                <w:b/>
              </w:rPr>
            </w:pPr>
            <w:r>
              <w:rPr>
                <w:rFonts w:ascii="Times New Roman" w:eastAsia="Times New Roman" w:hAnsi="Times New Roman" w:cs="Times New Roman"/>
                <w:b/>
              </w:rPr>
              <w:t>P</w:t>
            </w:r>
            <w:r w:rsidR="00EA6AF8">
              <w:rPr>
                <w:rFonts w:ascii="Times New Roman" w:eastAsia="Times New Roman" w:hAnsi="Times New Roman" w:cs="Times New Roman"/>
                <w:b/>
              </w:rPr>
              <w:t>unkt 5.9</w:t>
            </w:r>
          </w:p>
          <w:p w:rsidR="00132BB5" w:rsidRPr="00865046" w:rsidRDefault="00132BB5" w:rsidP="00641D14">
            <w:pPr>
              <w:rPr>
                <w:rFonts w:ascii="Times New Roman" w:eastAsia="Times New Roman" w:hAnsi="Times New Roman" w:cs="Times New Roman"/>
                <w:b/>
              </w:rPr>
            </w:pPr>
          </w:p>
        </w:tc>
        <w:tc>
          <w:tcPr>
            <w:tcW w:w="3737" w:type="dxa"/>
          </w:tcPr>
          <w:p w:rsidR="00EA6AF8" w:rsidRPr="00915135" w:rsidRDefault="00EA6AF8" w:rsidP="00641D14">
            <w:pPr>
              <w:rPr>
                <w:b/>
              </w:rPr>
            </w:pPr>
            <w:r w:rsidRPr="00915135">
              <w:rPr>
                <w:b/>
              </w:rPr>
              <w:t xml:space="preserve">Krav på en revisor/revisionsberättelse </w:t>
            </w:r>
          </w:p>
          <w:p w:rsidR="00EA6AF8" w:rsidRDefault="00EA6AF8" w:rsidP="00641D14"/>
          <w:p w:rsidR="00EA6AF8" w:rsidRDefault="00EA6AF8" w:rsidP="00641D14">
            <w:r>
              <w:t xml:space="preserve">Undantagsdokumentet ska innefatta en rapport som utarbetats av oberoende revisorer och där dessa uttrycker uppfattningen att </w:t>
            </w:r>
          </w:p>
          <w:p w:rsidR="00EA6AF8" w:rsidRDefault="00EA6AF8" w:rsidP="00641D14"/>
          <w:p w:rsidR="00EA6AF8" w:rsidRDefault="00EA6AF8" w:rsidP="00641D14">
            <w:r>
              <w:t xml:space="preserve">a) proformaredovisningen har sammanställts korrekt på den angivna grundvalen, </w:t>
            </w:r>
          </w:p>
          <w:p w:rsidR="00EA6AF8" w:rsidRDefault="00EA6AF8" w:rsidP="00641D14"/>
          <w:p w:rsidR="00132BB5" w:rsidRDefault="00EA6AF8" w:rsidP="00641D14">
            <w:r>
              <w:t>b) att den grundval som avses i led a överensstämmer med emittentens redovisningsprinciper</w:t>
            </w:r>
            <w:r w:rsidR="00B040DA">
              <w:t>.</w:t>
            </w:r>
          </w:p>
          <w:p w:rsidR="00EA6AF8" w:rsidRDefault="00EA6AF8" w:rsidP="00641D14"/>
        </w:tc>
        <w:tc>
          <w:tcPr>
            <w:tcW w:w="1891"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132BB5" w:rsidRPr="00865046" w:rsidRDefault="00132BB5" w:rsidP="00641D14">
            <w:pPr>
              <w:rPr>
                <w:rFonts w:ascii="Times New Roman" w:eastAsia="Times New Roman" w:hAnsi="Times New Roman" w:cs="Times New Roman"/>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bl>
    <w:p w:rsidR="00132BB5" w:rsidRPr="00865046" w:rsidRDefault="00132BB5" w:rsidP="00865046">
      <w:pPr>
        <w:spacing w:after="160" w:line="259" w:lineRule="auto"/>
        <w:rPr>
          <w:rFonts w:ascii="Calibri" w:eastAsia="Calibri" w:hAnsi="Calibri" w:cs="Times New Roman"/>
          <w:sz w:val="22"/>
          <w:szCs w:val="22"/>
        </w:rPr>
      </w:pPr>
    </w:p>
    <w:tbl>
      <w:tblPr>
        <w:tblStyle w:val="Tabellrutnt2"/>
        <w:tblW w:w="9542" w:type="dxa"/>
        <w:tblLook w:val="04A0" w:firstRow="1" w:lastRow="0" w:firstColumn="1" w:lastColumn="0" w:noHBand="0" w:noVBand="1"/>
      </w:tblPr>
      <w:tblGrid>
        <w:gridCol w:w="1877"/>
        <w:gridCol w:w="3737"/>
        <w:gridCol w:w="1891"/>
        <w:gridCol w:w="2037"/>
      </w:tblGrid>
      <w:tr w:rsidR="00EA6AF8" w:rsidRPr="00865046" w:rsidTr="00641D14">
        <w:trPr>
          <w:trHeight w:val="296"/>
        </w:trPr>
        <w:tc>
          <w:tcPr>
            <w:tcW w:w="1877" w:type="dxa"/>
          </w:tcPr>
          <w:p w:rsidR="00EA6AF8" w:rsidRPr="00865046" w:rsidRDefault="00EA6AF8" w:rsidP="00641D14">
            <w:pPr>
              <w:rPr>
                <w:rFonts w:ascii="Times New Roman" w:eastAsia="Times New Roman" w:hAnsi="Times New Roman" w:cs="Times New Roman"/>
                <w:b/>
              </w:rPr>
            </w:pPr>
            <w:r>
              <w:rPr>
                <w:rFonts w:ascii="Times New Roman" w:eastAsia="Times New Roman" w:hAnsi="Times New Roman" w:cs="Times New Roman"/>
                <w:b/>
              </w:rPr>
              <w:t>AVSNITT 6</w:t>
            </w:r>
          </w:p>
        </w:tc>
        <w:tc>
          <w:tcPr>
            <w:tcW w:w="3737" w:type="dxa"/>
          </w:tcPr>
          <w:p w:rsidR="00EA6AF8" w:rsidRPr="00EA6AF8" w:rsidRDefault="00EA6AF8" w:rsidP="00641D14">
            <w:pPr>
              <w:rPr>
                <w:rFonts w:ascii="Times New Roman" w:eastAsia="Times New Roman" w:hAnsi="Times New Roman" w:cs="Times New Roman"/>
                <w:b/>
              </w:rPr>
            </w:pPr>
            <w:r w:rsidRPr="00915135">
              <w:rPr>
                <w:b/>
              </w:rPr>
              <w:t xml:space="preserve">TILLGÄNGLIGA DOKUMENT </w:t>
            </w:r>
          </w:p>
        </w:tc>
        <w:tc>
          <w:tcPr>
            <w:tcW w:w="1891" w:type="dxa"/>
          </w:tcPr>
          <w:p w:rsidR="009B49CE" w:rsidRDefault="009B49CE" w:rsidP="009B49CE">
            <w:pPr>
              <w:rPr>
                <w:b/>
              </w:rPr>
            </w:pPr>
            <w:r>
              <w:rPr>
                <w:b/>
              </w:rPr>
              <w:t>Sidor i undantags-</w:t>
            </w:r>
          </w:p>
          <w:p w:rsidR="00EA6AF8" w:rsidRPr="00865046" w:rsidRDefault="009B49CE" w:rsidP="009B49CE">
            <w:pPr>
              <w:rPr>
                <w:rFonts w:ascii="Times New Roman" w:eastAsia="Times New Roman" w:hAnsi="Times New Roman" w:cs="Times New Roman"/>
                <w:b/>
              </w:rPr>
            </w:pPr>
            <w:r>
              <w:rPr>
                <w:b/>
              </w:rPr>
              <w:t>dokument</w:t>
            </w:r>
          </w:p>
        </w:tc>
        <w:tc>
          <w:tcPr>
            <w:tcW w:w="2037" w:type="dxa"/>
          </w:tcPr>
          <w:p w:rsidR="00EA6AF8" w:rsidRPr="00865046" w:rsidRDefault="00EA6AF8" w:rsidP="00641D14">
            <w:pPr>
              <w:rPr>
                <w:rFonts w:ascii="Times New Roman" w:eastAsia="Times New Roman" w:hAnsi="Times New Roman" w:cs="Times New Roman"/>
                <w:b/>
              </w:rPr>
            </w:pPr>
            <w:r w:rsidRPr="00865046">
              <w:rPr>
                <w:rFonts w:ascii="Times New Roman" w:eastAsia="Times New Roman" w:hAnsi="Times New Roman" w:cs="Times New Roman"/>
                <w:b/>
              </w:rPr>
              <w:t>Bolagets kommentarer</w:t>
            </w:r>
          </w:p>
          <w:p w:rsidR="00EA6AF8" w:rsidRPr="00865046" w:rsidRDefault="00EA6AF8" w:rsidP="00641D14">
            <w:pPr>
              <w:rPr>
                <w:rFonts w:ascii="Times New Roman" w:eastAsia="Times New Roman" w:hAnsi="Times New Roman" w:cs="Times New Roman"/>
              </w:rPr>
            </w:pPr>
          </w:p>
        </w:tc>
      </w:tr>
      <w:tr w:rsidR="00EA6AF8" w:rsidRPr="00865046" w:rsidTr="00641D14">
        <w:trPr>
          <w:trHeight w:val="296"/>
        </w:trPr>
        <w:tc>
          <w:tcPr>
            <w:tcW w:w="1877" w:type="dxa"/>
          </w:tcPr>
          <w:p w:rsidR="00EA6AF8" w:rsidRPr="00865046" w:rsidRDefault="00EA6AF8" w:rsidP="00641D14">
            <w:pPr>
              <w:rPr>
                <w:rFonts w:ascii="Times New Roman" w:eastAsia="Times New Roman" w:hAnsi="Times New Roman" w:cs="Times New Roman"/>
                <w:b/>
              </w:rPr>
            </w:pPr>
            <w:r w:rsidRPr="00865046">
              <w:rPr>
                <w:rFonts w:ascii="Times New Roman" w:eastAsia="Times New Roman" w:hAnsi="Times New Roman" w:cs="Times New Roman"/>
                <w:b/>
              </w:rPr>
              <w:t>P</w:t>
            </w:r>
            <w:r>
              <w:rPr>
                <w:rFonts w:ascii="Times New Roman" w:eastAsia="Times New Roman" w:hAnsi="Times New Roman" w:cs="Times New Roman"/>
                <w:b/>
              </w:rPr>
              <w:t>unkt 6.1</w:t>
            </w:r>
          </w:p>
        </w:tc>
        <w:tc>
          <w:tcPr>
            <w:tcW w:w="3737" w:type="dxa"/>
          </w:tcPr>
          <w:p w:rsidR="00EA6AF8" w:rsidRDefault="00EA6AF8">
            <w:r>
              <w:t xml:space="preserve">Information om var följande dokument, i förekommande fall, kan granskas under de kommande tolv månaderna efter offentliggörandet av undantagsdokumentet: </w:t>
            </w:r>
            <w:r>
              <w:br/>
            </w:r>
            <w:r>
              <w:br/>
              <w:t xml:space="preserve">a) Emittentens uppdaterade stiftelseurkund och bolagsordning. b) Alla rapporter, brev och andra handlingar, historisk finansiell information, värderingar eller utlåtanden som utfärdats av sakkunnig på emittentens </w:t>
            </w:r>
            <w:r>
              <w:lastRenderedPageBreak/>
              <w:t xml:space="preserve">begäran och som till någon del ingår i eller hänvisas till i undantagsdokumentet. </w:t>
            </w:r>
            <w:r>
              <w:br/>
            </w:r>
            <w:r>
              <w:br/>
              <w:t xml:space="preserve">c) Alla rapporter, brev och övriga dokument, värderingar och utlåtanden som inte omfattas av led a eller b i denna punkt eller någon annan punkt i bilagan som förberetts i enlighet med direktiv 2004/25/EG eller direktiv (EU) 2017/1132. </w:t>
            </w:r>
          </w:p>
          <w:p w:rsidR="00EA6AF8" w:rsidRDefault="00EA6AF8"/>
          <w:p w:rsidR="00EA6AF8" w:rsidRDefault="00EA6AF8">
            <w:r>
              <w:t>En uppgift om den webbplats där dokumenten kan granskas.</w:t>
            </w:r>
          </w:p>
          <w:p w:rsidR="00EA6AF8" w:rsidRPr="00641D14" w:rsidRDefault="00EA6AF8"/>
        </w:tc>
        <w:tc>
          <w:tcPr>
            <w:tcW w:w="1891" w:type="dxa"/>
          </w:tcPr>
          <w:p w:rsidR="00EA6AF8" w:rsidRPr="00865046" w:rsidRDefault="00EA6AF8" w:rsidP="00641D14">
            <w:pPr>
              <w:rPr>
                <w:rFonts w:ascii="Times New Roman" w:eastAsia="Times New Roman" w:hAnsi="Times New Roman" w:cs="Times New Roman"/>
                <w:b/>
              </w:rPr>
            </w:pPr>
            <w:r w:rsidRPr="00865046">
              <w:rPr>
                <w:rFonts w:ascii="Times New Roman" w:eastAsia="Times New Roman" w:hAnsi="Times New Roman" w:cs="Times New Roman"/>
              </w:rPr>
              <w:lastRenderedPageBreak/>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c>
          <w:tcPr>
            <w:tcW w:w="2037" w:type="dxa"/>
          </w:tcPr>
          <w:p w:rsidR="00EA6AF8" w:rsidRPr="00865046" w:rsidRDefault="00EA6AF8" w:rsidP="00641D14">
            <w:pPr>
              <w:rPr>
                <w:rFonts w:ascii="Times New Roman" w:eastAsia="Times New Roman" w:hAnsi="Times New Roman" w:cs="Times New Roman"/>
                <w:b/>
              </w:rPr>
            </w:pPr>
            <w:r w:rsidRPr="00865046">
              <w:rPr>
                <w:rFonts w:ascii="Times New Roman" w:eastAsia="Times New Roman" w:hAnsi="Times New Roman" w:cs="Times New Roman"/>
              </w:rPr>
              <w:fldChar w:fldCharType="begin" w:fldLock="1">
                <w:ffData>
                  <w:name w:val=""/>
                  <w:enabled/>
                  <w:calcOnExit w:val="0"/>
                  <w:textInput/>
                </w:ffData>
              </w:fldChar>
            </w:r>
            <w:r w:rsidRPr="00865046">
              <w:rPr>
                <w:rFonts w:ascii="Times New Roman" w:eastAsia="Times New Roman" w:hAnsi="Times New Roman" w:cs="Times New Roman"/>
              </w:rPr>
              <w:instrText xml:space="preserve"> FORMTEXT </w:instrText>
            </w:r>
            <w:r w:rsidRPr="00865046">
              <w:rPr>
                <w:rFonts w:ascii="Times New Roman" w:eastAsia="Times New Roman" w:hAnsi="Times New Roman" w:cs="Times New Roman"/>
              </w:rPr>
            </w:r>
            <w:r w:rsidRPr="00865046">
              <w:rPr>
                <w:rFonts w:ascii="Times New Roman" w:eastAsia="Times New Roman" w:hAnsi="Times New Roman" w:cs="Times New Roman"/>
              </w:rPr>
              <w:fldChar w:fldCharType="separate"/>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t> </w:t>
            </w:r>
            <w:r w:rsidRPr="00865046">
              <w:rPr>
                <w:rFonts w:ascii="Times New Roman" w:eastAsia="Times New Roman" w:hAnsi="Times New Roman" w:cs="Times New Roman"/>
              </w:rPr>
              <w:fldChar w:fldCharType="end"/>
            </w:r>
          </w:p>
        </w:tc>
      </w:tr>
    </w:tbl>
    <w:p w:rsidR="00FE3AC8" w:rsidRDefault="00FE3AC8" w:rsidP="00BD02C9">
      <w:pPr>
        <w:rPr>
          <w:b/>
        </w:rPr>
      </w:pPr>
    </w:p>
    <w:p w:rsidR="00FE3AC8" w:rsidRDefault="00FE3AC8" w:rsidP="00BD02C9">
      <w:pPr>
        <w:rPr>
          <w:b/>
        </w:rPr>
      </w:pPr>
    </w:p>
    <w:p w:rsidR="00FE3AC8" w:rsidRDefault="00FE3AC8" w:rsidP="00BD02C9">
      <w:pPr>
        <w:rPr>
          <w:b/>
        </w:rPr>
      </w:pPr>
    </w:p>
    <w:p w:rsidR="00283893" w:rsidRPr="009107BF" w:rsidRDefault="00283893"/>
    <w:sectPr w:rsidR="00283893" w:rsidRPr="009107BF" w:rsidSect="00DB6253">
      <w:headerReference w:type="even" r:id="rId9"/>
      <w:headerReference w:type="default" r:id="rId10"/>
      <w:footerReference w:type="even" r:id="rId11"/>
      <w:footerReference w:type="default" r:id="rId12"/>
      <w:headerReference w:type="first" r:id="rId13"/>
      <w:footerReference w:type="first" r:id="rId14"/>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C38" w:rsidRDefault="00F87C38" w:rsidP="002D45F1">
      <w:pPr>
        <w:spacing w:line="240" w:lineRule="auto"/>
      </w:pPr>
      <w:r>
        <w:separator/>
      </w:r>
    </w:p>
  </w:endnote>
  <w:endnote w:type="continuationSeparator" w:id="0">
    <w:p w:rsidR="00F87C38" w:rsidRDefault="00F87C38"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74" w:rsidRDefault="00314A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C38" w:rsidRPr="0097068E" w:rsidRDefault="00F87C38" w:rsidP="00A5763B">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I</w:t>
    </w:r>
    <w:r w:rsidRPr="0097068E">
      <w:rPr>
        <w:rFonts w:ascii="Arial" w:hAnsi="Arial" w:cs="Arial"/>
        <w:sz w:val="18"/>
        <w:szCs w:val="18"/>
      </w:rPr>
      <w:t>. Avprickningslista för</w:t>
    </w:r>
    <w:r w:rsidR="00EA5610">
      <w:rPr>
        <w:rFonts w:ascii="Arial" w:hAnsi="Arial" w:cs="Arial"/>
        <w:sz w:val="18"/>
        <w:szCs w:val="18"/>
      </w:rPr>
      <w:t xml:space="preserve"> u</w:t>
    </w:r>
    <w:r>
      <w:rPr>
        <w:rFonts w:ascii="Arial" w:hAnsi="Arial" w:cs="Arial"/>
        <w:sz w:val="18"/>
        <w:szCs w:val="18"/>
      </w:rPr>
      <w:t>ndantagsdokument.</w:t>
    </w:r>
  </w:p>
  <w:p w:rsidR="00F87C38" w:rsidRDefault="00F87C38" w:rsidP="0069183A">
    <w:pPr>
      <w:pStyle w:val="Sidfot"/>
      <w:jc w:val="center"/>
    </w:pPr>
  </w:p>
  <w:p w:rsidR="00F87C38" w:rsidRDefault="00F87C38" w:rsidP="00472415">
    <w:pPr>
      <w:pStyle w:val="Sidfot"/>
    </w:pPr>
    <w:r>
      <w:fldChar w:fldCharType="begin"/>
    </w:r>
    <w:r>
      <w:instrText xml:space="preserve"> PAGE   \* MERGEFORMAT </w:instrText>
    </w:r>
    <w:r>
      <w:fldChar w:fldCharType="separate"/>
    </w:r>
    <w:r w:rsidR="00314A74">
      <w:rPr>
        <w:noProof/>
      </w:rPr>
      <w:t>21</w:t>
    </w:r>
    <w:r>
      <w:fldChar w:fldCharType="end"/>
    </w:r>
    <w:r>
      <w:t xml:space="preserve"> (</w:t>
    </w:r>
    <w:r>
      <w:rPr>
        <w:noProof/>
      </w:rPr>
      <w:fldChar w:fldCharType="begin"/>
    </w:r>
    <w:r>
      <w:rPr>
        <w:noProof/>
      </w:rPr>
      <w:instrText xml:space="preserve"> NUMPAGES  \* Arabic  \* MERGEFORMAT </w:instrText>
    </w:r>
    <w:r>
      <w:rPr>
        <w:noProof/>
      </w:rPr>
      <w:fldChar w:fldCharType="separate"/>
    </w:r>
    <w:r w:rsidR="00314A74">
      <w:rPr>
        <w:noProof/>
      </w:rPr>
      <w:t>23</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C38" w:rsidRPr="0097068E" w:rsidRDefault="00F87C38"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I</w:t>
    </w:r>
    <w:r w:rsidRPr="0097068E">
      <w:rPr>
        <w:rFonts w:ascii="Arial" w:hAnsi="Arial" w:cs="Arial"/>
        <w:sz w:val="18"/>
        <w:szCs w:val="18"/>
      </w:rPr>
      <w:t xml:space="preserve">. Avprickningslista för </w:t>
    </w:r>
    <w:r w:rsidR="00EA5610">
      <w:rPr>
        <w:rFonts w:ascii="Arial" w:hAnsi="Arial" w:cs="Arial"/>
        <w:sz w:val="18"/>
        <w:szCs w:val="18"/>
      </w:rPr>
      <w:t>u</w:t>
    </w:r>
    <w:r>
      <w:rPr>
        <w:rFonts w:ascii="Arial" w:hAnsi="Arial" w:cs="Arial"/>
        <w:sz w:val="18"/>
        <w:szCs w:val="18"/>
      </w:rPr>
      <w:t>ndantagsdokument.</w:t>
    </w:r>
  </w:p>
  <w:p w:rsidR="00F87C38" w:rsidRDefault="00F87C38">
    <w:pPr>
      <w:pStyle w:val="Sidfot"/>
    </w:pPr>
  </w:p>
  <w:p w:rsidR="00F87C38" w:rsidRDefault="00F87C38" w:rsidP="0097068E">
    <w:pPr>
      <w:pStyle w:val="Sidfot"/>
      <w:ind w:right="-427"/>
    </w:pPr>
    <w:r>
      <w:fldChar w:fldCharType="begin"/>
    </w:r>
    <w:r>
      <w:instrText xml:space="preserve"> PAGE   \* MERGEFORMAT </w:instrText>
    </w:r>
    <w:r>
      <w:fldChar w:fldCharType="separate"/>
    </w:r>
    <w:r w:rsidR="00314A74">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314A74">
      <w:rPr>
        <w:noProof/>
      </w:rPr>
      <w:t>23</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C38" w:rsidRDefault="00F87C38" w:rsidP="002D45F1">
      <w:pPr>
        <w:spacing w:line="240" w:lineRule="auto"/>
      </w:pPr>
      <w:r>
        <w:separator/>
      </w:r>
    </w:p>
  </w:footnote>
  <w:footnote w:type="continuationSeparator" w:id="0">
    <w:p w:rsidR="00F87C38" w:rsidRDefault="00F87C38" w:rsidP="002D45F1">
      <w:pPr>
        <w:spacing w:line="240" w:lineRule="auto"/>
      </w:pPr>
      <w:r>
        <w:continuationSeparator/>
      </w:r>
    </w:p>
  </w:footnote>
  <w:footnote w:id="1">
    <w:p w:rsidR="00F87C38" w:rsidRDefault="00F87C38">
      <w:pPr>
        <w:pStyle w:val="Fotnotstext"/>
      </w:pPr>
      <w:r>
        <w:rPr>
          <w:rStyle w:val="Fotnotsreferens"/>
        </w:rPr>
        <w:footnoteRef/>
      </w:r>
      <w:r>
        <w:t xml:space="preserve"> Europaparlamentets och rådets förordning (EG) nr 1606/2002 av den 19 juli 2002 om tillämpning av internationella redovisningsstandarder (EGT L 243, 11.9.2002, s. 1).</w:t>
      </w:r>
    </w:p>
  </w:footnote>
  <w:footnote w:id="2">
    <w:p w:rsidR="00F87C38" w:rsidRDefault="00F87C38">
      <w:pPr>
        <w:pStyle w:val="Fotnotstext"/>
      </w:pPr>
      <w:r>
        <w:rPr>
          <w:rStyle w:val="Fotnotsreferens"/>
        </w:rPr>
        <w:footnoteRef/>
      </w:r>
      <w:r>
        <w:t xml:space="preserve"> Europaparlamentets och rådets direktiv 2013/34/EU av den 26 juni 2013 om årsbokslut, koncernredovisning och rapporter i vissa typer av företag, om ändring av Europaparlamentets och rådets direktiv 2006/43/EG och om upphävande av rådets direktiv 78/660/EEG och 83/349/EEG (EUT L 182, 29.6.2013, s. 19).</w:t>
      </w:r>
    </w:p>
  </w:footnote>
  <w:footnote w:id="3">
    <w:p w:rsidR="00F87C38" w:rsidRDefault="00F87C38">
      <w:pPr>
        <w:pStyle w:val="Fotnotstext"/>
      </w:pPr>
      <w:r>
        <w:rPr>
          <w:rStyle w:val="Fotnotsreferens"/>
        </w:rPr>
        <w:footnoteRef/>
      </w:r>
      <w:r>
        <w:t xml:space="preserve"> Europaparlamentets och rådets förordning (EU) nr 596/2014 av den 16 april 2014 om marknadsmissbruk (marknadsmissbruksförordning) och om upphävande av Europaparlamentets och rådets direktiv 2003/6/EG och kommissionens direktiv 2003/124/EG, 2003/125/EG och 2004/72/EG (EUT L 173, 12.6.2014, s. 1).</w:t>
      </w:r>
    </w:p>
  </w:footnote>
  <w:footnote w:id="4">
    <w:p w:rsidR="00F87C38" w:rsidRDefault="00F87C38">
      <w:pPr>
        <w:pStyle w:val="Fotnotstext"/>
      </w:pPr>
      <w:r>
        <w:rPr>
          <w:rStyle w:val="Fotnotsreferens"/>
        </w:rPr>
        <w:footnoteRef/>
      </w:r>
      <w:r>
        <w:t xml:space="preserve"> Kommissionens delegerade förordning (EU) 2019/980 av den 14 mars 2019 om komplettering av Europaparlamentets och rådets förordning (EU) 2017/1129 vad gäller formatet på, innehållet i och granskningen och godkännandet av de prospekt som ska offentliggöras när värdepapper erbjuds till allmänheten eller tas upp till handel på en reglerad marknad, och om upphävande av kommissionens förordning (EG) nr 809/2004 (EUT L 166, 21.6.2019, s. 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74" w:rsidRDefault="00314A7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F87C38" w:rsidTr="00663AE6">
      <w:trPr>
        <w:trHeight w:val="680"/>
      </w:trPr>
      <w:tc>
        <w:tcPr>
          <w:tcW w:w="7654" w:type="dxa"/>
          <w:vAlign w:val="bottom"/>
        </w:tcPr>
        <w:p w:rsidR="00F87C38" w:rsidRDefault="00F87C38" w:rsidP="0013521B">
          <w:pPr>
            <w:jc w:val="right"/>
          </w:pPr>
        </w:p>
      </w:tc>
      <w:tc>
        <w:tcPr>
          <w:tcW w:w="2098" w:type="dxa"/>
          <w:vMerge w:val="restart"/>
        </w:tcPr>
        <w:p w:rsidR="00F87C38" w:rsidRDefault="00F87C38" w:rsidP="0013521B">
          <w:pPr>
            <w:jc w:val="right"/>
          </w:pPr>
          <w:r>
            <w:rPr>
              <w:noProof/>
              <w:lang w:eastAsia="sv-SE"/>
            </w:rPr>
            <w:drawing>
              <wp:inline distT="0" distB="0" distL="0" distR="0" wp14:anchorId="16F0A798" wp14:editId="295A289E">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F87C38" w:rsidTr="00663AE6">
      <w:tc>
        <w:tcPr>
          <w:tcW w:w="7654" w:type="dxa"/>
        </w:tcPr>
        <w:p w:rsidR="00F87C38" w:rsidRDefault="00F87C38" w:rsidP="0013521B"/>
      </w:tc>
      <w:tc>
        <w:tcPr>
          <w:tcW w:w="2098" w:type="dxa"/>
          <w:vMerge/>
        </w:tcPr>
        <w:p w:rsidR="00F87C38" w:rsidRDefault="00F87C38" w:rsidP="0013521B"/>
      </w:tc>
    </w:tr>
  </w:tbl>
  <w:p w:rsidR="00F87C38" w:rsidRDefault="00F87C3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C38" w:rsidRDefault="00F87C38">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F87C38" w:rsidRDefault="00F87C38" w:rsidP="002D45F1">
                          <w:pPr>
                            <w:pStyle w:val="AdressFet"/>
                          </w:pPr>
                          <w:r>
                            <w:t>Finansinspektionen</w:t>
                          </w:r>
                        </w:p>
                        <w:p w:rsidR="00F87C38" w:rsidRDefault="00F87C38" w:rsidP="002D45F1">
                          <w:pPr>
                            <w:pStyle w:val="Adress"/>
                          </w:pPr>
                          <w:r>
                            <w:t>Box 7821</w:t>
                          </w:r>
                        </w:p>
                        <w:p w:rsidR="00F87C38" w:rsidRDefault="00F87C38" w:rsidP="002D45F1">
                          <w:pPr>
                            <w:pStyle w:val="Adress"/>
                          </w:pPr>
                          <w:r>
                            <w:t>SE-103 97 Stockholm</w:t>
                          </w:r>
                        </w:p>
                        <w:p w:rsidR="00F87C38" w:rsidRDefault="00F87C38" w:rsidP="002D45F1">
                          <w:pPr>
                            <w:pStyle w:val="Adress"/>
                          </w:pPr>
                          <w:r>
                            <w:t>[Brunnsgatan 3]</w:t>
                          </w:r>
                        </w:p>
                        <w:p w:rsidR="00F87C38" w:rsidRPr="00942E9F" w:rsidRDefault="00F87C38" w:rsidP="002D45F1">
                          <w:pPr>
                            <w:pStyle w:val="Adress"/>
                            <w:rPr>
                              <w:lang w:val="en-US"/>
                            </w:rPr>
                          </w:pPr>
                          <w:r w:rsidRPr="00942E9F">
                            <w:rPr>
                              <w:lang w:val="en-US"/>
                            </w:rPr>
                            <w:t>Tel +46 8 408 980 00</w:t>
                          </w:r>
                        </w:p>
                        <w:p w:rsidR="00F87C38" w:rsidRPr="00942E9F" w:rsidRDefault="00F87C38" w:rsidP="002D45F1">
                          <w:pPr>
                            <w:pStyle w:val="Adress"/>
                            <w:rPr>
                              <w:lang w:val="en-US"/>
                            </w:rPr>
                          </w:pPr>
                          <w:r w:rsidRPr="00942E9F">
                            <w:rPr>
                              <w:lang w:val="en-US"/>
                            </w:rPr>
                            <w:t>Fax +46 8 24 13 35</w:t>
                          </w:r>
                        </w:p>
                        <w:p w:rsidR="00F87C38" w:rsidRPr="00942E9F" w:rsidRDefault="00F87C38" w:rsidP="002D45F1">
                          <w:pPr>
                            <w:pStyle w:val="Adress"/>
                            <w:rPr>
                              <w:lang w:val="en-US"/>
                            </w:rPr>
                          </w:pPr>
                          <w:r w:rsidRPr="00942E9F">
                            <w:rPr>
                              <w:lang w:val="en-US"/>
                            </w:rPr>
                            <w:t>finansinspektionen@fi.se</w:t>
                          </w:r>
                        </w:p>
                        <w:p w:rsidR="00F87C38" w:rsidRPr="00942E9F" w:rsidRDefault="00F87C38"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F87C38" w:rsidRDefault="00F87C38" w:rsidP="002D45F1">
                    <w:pPr>
                      <w:pStyle w:val="AdressFet"/>
                    </w:pPr>
                    <w:r>
                      <w:t>Finansinspektionen</w:t>
                    </w:r>
                  </w:p>
                  <w:p w:rsidR="00F87C38" w:rsidRDefault="00F87C38" w:rsidP="002D45F1">
                    <w:pPr>
                      <w:pStyle w:val="Adress"/>
                    </w:pPr>
                    <w:r>
                      <w:t>Box 7821</w:t>
                    </w:r>
                  </w:p>
                  <w:p w:rsidR="00F87C38" w:rsidRDefault="00F87C38" w:rsidP="002D45F1">
                    <w:pPr>
                      <w:pStyle w:val="Adress"/>
                    </w:pPr>
                    <w:r>
                      <w:t>SE-103 97 Stockholm</w:t>
                    </w:r>
                  </w:p>
                  <w:p w:rsidR="00F87C38" w:rsidRDefault="00F87C38" w:rsidP="002D45F1">
                    <w:pPr>
                      <w:pStyle w:val="Adress"/>
                    </w:pPr>
                    <w:r>
                      <w:t>[Brunnsgatan 3]</w:t>
                    </w:r>
                  </w:p>
                  <w:p w:rsidR="00F87C38" w:rsidRPr="00942E9F" w:rsidRDefault="00F87C38" w:rsidP="002D45F1">
                    <w:pPr>
                      <w:pStyle w:val="Adress"/>
                      <w:rPr>
                        <w:lang w:val="en-US"/>
                      </w:rPr>
                    </w:pPr>
                    <w:r w:rsidRPr="00942E9F">
                      <w:rPr>
                        <w:lang w:val="en-US"/>
                      </w:rPr>
                      <w:t>Tel +46 8 408 980 00</w:t>
                    </w:r>
                  </w:p>
                  <w:p w:rsidR="00F87C38" w:rsidRPr="00942E9F" w:rsidRDefault="00F87C38" w:rsidP="002D45F1">
                    <w:pPr>
                      <w:pStyle w:val="Adress"/>
                      <w:rPr>
                        <w:lang w:val="en-US"/>
                      </w:rPr>
                    </w:pPr>
                    <w:r w:rsidRPr="00942E9F">
                      <w:rPr>
                        <w:lang w:val="en-US"/>
                      </w:rPr>
                      <w:t>Fax +46 8 24 13 35</w:t>
                    </w:r>
                  </w:p>
                  <w:p w:rsidR="00F87C38" w:rsidRPr="00942E9F" w:rsidRDefault="00F87C38" w:rsidP="002D45F1">
                    <w:pPr>
                      <w:pStyle w:val="Adress"/>
                      <w:rPr>
                        <w:lang w:val="en-US"/>
                      </w:rPr>
                    </w:pPr>
                    <w:r w:rsidRPr="00942E9F">
                      <w:rPr>
                        <w:lang w:val="en-US"/>
                      </w:rPr>
                      <w:t>finansinspektionen@fi.se</w:t>
                    </w:r>
                  </w:p>
                  <w:p w:rsidR="00F87C38" w:rsidRPr="00942E9F" w:rsidRDefault="00F87C38"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4F5EA0"/>
    <w:multiLevelType w:val="hybridMultilevel"/>
    <w:tmpl w:val="68CCB9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4457B2"/>
    <w:multiLevelType w:val="multilevel"/>
    <w:tmpl w:val="F4C243EE"/>
    <w:numStyleLink w:val="Listformatnumreradlista"/>
  </w:abstractNum>
  <w:abstractNum w:abstractNumId="9" w15:restartNumberingAfterBreak="0">
    <w:nsid w:val="3BB97AC9"/>
    <w:multiLevelType w:val="multilevel"/>
    <w:tmpl w:val="F4C243EE"/>
    <w:numStyleLink w:val="Listformatnumreradlista"/>
  </w:abstractNum>
  <w:abstractNum w:abstractNumId="10"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64D742F"/>
    <w:multiLevelType w:val="multilevel"/>
    <w:tmpl w:val="F4C243EE"/>
    <w:numStyleLink w:val="Listformatnumreradlista"/>
  </w:abstractNum>
  <w:abstractNum w:abstractNumId="13"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2AD2FB6"/>
    <w:multiLevelType w:val="hybridMultilevel"/>
    <w:tmpl w:val="A9BE89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0"/>
  </w:num>
  <w:num w:numId="5">
    <w:abstractNumId w:val="7"/>
  </w:num>
  <w:num w:numId="6">
    <w:abstractNumId w:val="2"/>
  </w:num>
  <w:num w:numId="7">
    <w:abstractNumId w:val="1"/>
  </w:num>
  <w:num w:numId="8">
    <w:abstractNumId w:val="0"/>
  </w:num>
  <w:num w:numId="9">
    <w:abstractNumId w:val="8"/>
  </w:num>
  <w:num w:numId="10">
    <w:abstractNumId w:val="12"/>
  </w:num>
  <w:num w:numId="11">
    <w:abstractNumId w:val="9"/>
  </w:num>
  <w:num w:numId="12">
    <w:abstractNumId w:val="13"/>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cumentProtection w:edit="forms" w:enforcement="1" w:cryptProviderType="rsaAES" w:cryptAlgorithmClass="hash" w:cryptAlgorithmType="typeAny" w:cryptAlgorithmSid="14" w:cryptSpinCount="100000" w:hash="J+GMYMC5oVuytCZDOscVGj04h0HAaEyBF0SSQTs6B0N7bg1sMQj9RjusKUUF8QhuFOq5HQO3R9cftFJg583J9Q==" w:salt="vl54c9HZCyrxbD6PPd38fw=="/>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12548"/>
    <w:rsid w:val="00022B19"/>
    <w:rsid w:val="00036170"/>
    <w:rsid w:val="00036BD8"/>
    <w:rsid w:val="00042DA0"/>
    <w:rsid w:val="00045F27"/>
    <w:rsid w:val="00046B76"/>
    <w:rsid w:val="00057198"/>
    <w:rsid w:val="00065CE2"/>
    <w:rsid w:val="0006620E"/>
    <w:rsid w:val="0006687E"/>
    <w:rsid w:val="000821A8"/>
    <w:rsid w:val="00084CDC"/>
    <w:rsid w:val="0009680D"/>
    <w:rsid w:val="000B5529"/>
    <w:rsid w:val="000D0DAA"/>
    <w:rsid w:val="000D39C7"/>
    <w:rsid w:val="000E3F61"/>
    <w:rsid w:val="000F44D2"/>
    <w:rsid w:val="0010225C"/>
    <w:rsid w:val="001130CD"/>
    <w:rsid w:val="001151F4"/>
    <w:rsid w:val="0011797D"/>
    <w:rsid w:val="00120545"/>
    <w:rsid w:val="001218E4"/>
    <w:rsid w:val="001222E4"/>
    <w:rsid w:val="001276B4"/>
    <w:rsid w:val="00132BB5"/>
    <w:rsid w:val="0013521B"/>
    <w:rsid w:val="00144B6F"/>
    <w:rsid w:val="00152FB0"/>
    <w:rsid w:val="00164194"/>
    <w:rsid w:val="001662CD"/>
    <w:rsid w:val="001664C7"/>
    <w:rsid w:val="001760FC"/>
    <w:rsid w:val="001955E2"/>
    <w:rsid w:val="001A160B"/>
    <w:rsid w:val="001A195A"/>
    <w:rsid w:val="001B0150"/>
    <w:rsid w:val="001B2211"/>
    <w:rsid w:val="001B77B4"/>
    <w:rsid w:val="001C3145"/>
    <w:rsid w:val="001D1340"/>
    <w:rsid w:val="001D20E4"/>
    <w:rsid w:val="001D2182"/>
    <w:rsid w:val="001E7673"/>
    <w:rsid w:val="002059F5"/>
    <w:rsid w:val="00211AB8"/>
    <w:rsid w:val="00212B44"/>
    <w:rsid w:val="00221422"/>
    <w:rsid w:val="0022374A"/>
    <w:rsid w:val="00230920"/>
    <w:rsid w:val="00234819"/>
    <w:rsid w:val="002517EF"/>
    <w:rsid w:val="00254453"/>
    <w:rsid w:val="00255F22"/>
    <w:rsid w:val="00261A24"/>
    <w:rsid w:val="00265B2A"/>
    <w:rsid w:val="00272596"/>
    <w:rsid w:val="0028282B"/>
    <w:rsid w:val="00282AF8"/>
    <w:rsid w:val="00283893"/>
    <w:rsid w:val="002854A7"/>
    <w:rsid w:val="002A4545"/>
    <w:rsid w:val="002A5CE4"/>
    <w:rsid w:val="002B373C"/>
    <w:rsid w:val="002B7897"/>
    <w:rsid w:val="002C5C14"/>
    <w:rsid w:val="002D25AD"/>
    <w:rsid w:val="002D45F1"/>
    <w:rsid w:val="002F63D9"/>
    <w:rsid w:val="002F66C3"/>
    <w:rsid w:val="00300893"/>
    <w:rsid w:val="00304F54"/>
    <w:rsid w:val="0030743A"/>
    <w:rsid w:val="00314A74"/>
    <w:rsid w:val="00316BA8"/>
    <w:rsid w:val="003228D8"/>
    <w:rsid w:val="00337FA6"/>
    <w:rsid w:val="003438CB"/>
    <w:rsid w:val="00343ECC"/>
    <w:rsid w:val="0035285A"/>
    <w:rsid w:val="00356312"/>
    <w:rsid w:val="00365AA8"/>
    <w:rsid w:val="003710FA"/>
    <w:rsid w:val="00375B31"/>
    <w:rsid w:val="003824A7"/>
    <w:rsid w:val="0038437A"/>
    <w:rsid w:val="0039104B"/>
    <w:rsid w:val="003910C7"/>
    <w:rsid w:val="00395C2A"/>
    <w:rsid w:val="003A09EB"/>
    <w:rsid w:val="003A2E1B"/>
    <w:rsid w:val="003A66D5"/>
    <w:rsid w:val="003B31FC"/>
    <w:rsid w:val="003B494B"/>
    <w:rsid w:val="003B4BD5"/>
    <w:rsid w:val="003E512C"/>
    <w:rsid w:val="003F1CC6"/>
    <w:rsid w:val="003F2475"/>
    <w:rsid w:val="0040011A"/>
    <w:rsid w:val="00401A5F"/>
    <w:rsid w:val="00405AE6"/>
    <w:rsid w:val="004069C2"/>
    <w:rsid w:val="00425685"/>
    <w:rsid w:val="0043332E"/>
    <w:rsid w:val="0043645C"/>
    <w:rsid w:val="00451CCB"/>
    <w:rsid w:val="004611AC"/>
    <w:rsid w:val="00461D1E"/>
    <w:rsid w:val="00472415"/>
    <w:rsid w:val="004774F6"/>
    <w:rsid w:val="004778B2"/>
    <w:rsid w:val="004859CD"/>
    <w:rsid w:val="00490DA0"/>
    <w:rsid w:val="004B5B5D"/>
    <w:rsid w:val="004C3BAE"/>
    <w:rsid w:val="004D1F01"/>
    <w:rsid w:val="004F010E"/>
    <w:rsid w:val="004F1C92"/>
    <w:rsid w:val="00504B72"/>
    <w:rsid w:val="00504FDF"/>
    <w:rsid w:val="00505E9F"/>
    <w:rsid w:val="005078D2"/>
    <w:rsid w:val="00512DBF"/>
    <w:rsid w:val="0053324C"/>
    <w:rsid w:val="00544750"/>
    <w:rsid w:val="005447D1"/>
    <w:rsid w:val="00552C15"/>
    <w:rsid w:val="00553039"/>
    <w:rsid w:val="00556282"/>
    <w:rsid w:val="00561250"/>
    <w:rsid w:val="00571C62"/>
    <w:rsid w:val="00580A5A"/>
    <w:rsid w:val="00580D45"/>
    <w:rsid w:val="005822D8"/>
    <w:rsid w:val="00584BA6"/>
    <w:rsid w:val="00590178"/>
    <w:rsid w:val="00591DA1"/>
    <w:rsid w:val="005928C6"/>
    <w:rsid w:val="005A070A"/>
    <w:rsid w:val="005A0C9D"/>
    <w:rsid w:val="005A547B"/>
    <w:rsid w:val="005A6A2A"/>
    <w:rsid w:val="005A6BB9"/>
    <w:rsid w:val="005A7816"/>
    <w:rsid w:val="005B29BA"/>
    <w:rsid w:val="005B46B5"/>
    <w:rsid w:val="005B477F"/>
    <w:rsid w:val="005B52C3"/>
    <w:rsid w:val="005C2880"/>
    <w:rsid w:val="005D1321"/>
    <w:rsid w:val="005E2934"/>
    <w:rsid w:val="005E432D"/>
    <w:rsid w:val="005E52EE"/>
    <w:rsid w:val="005F318A"/>
    <w:rsid w:val="005F6A77"/>
    <w:rsid w:val="005F6E26"/>
    <w:rsid w:val="00601465"/>
    <w:rsid w:val="0061580A"/>
    <w:rsid w:val="006165A4"/>
    <w:rsid w:val="006448DE"/>
    <w:rsid w:val="006477FC"/>
    <w:rsid w:val="00651739"/>
    <w:rsid w:val="006526FD"/>
    <w:rsid w:val="00653EB8"/>
    <w:rsid w:val="00661F0B"/>
    <w:rsid w:val="00663AE6"/>
    <w:rsid w:val="006701F4"/>
    <w:rsid w:val="00682985"/>
    <w:rsid w:val="00683002"/>
    <w:rsid w:val="006863AD"/>
    <w:rsid w:val="0069183A"/>
    <w:rsid w:val="00692266"/>
    <w:rsid w:val="006A629C"/>
    <w:rsid w:val="006A6CAE"/>
    <w:rsid w:val="006C209E"/>
    <w:rsid w:val="006C3BE7"/>
    <w:rsid w:val="006C6AA9"/>
    <w:rsid w:val="006D53CA"/>
    <w:rsid w:val="006D68D8"/>
    <w:rsid w:val="006E60AC"/>
    <w:rsid w:val="006F475C"/>
    <w:rsid w:val="00705617"/>
    <w:rsid w:val="00710999"/>
    <w:rsid w:val="0072420F"/>
    <w:rsid w:val="007247D5"/>
    <w:rsid w:val="00744018"/>
    <w:rsid w:val="007554E8"/>
    <w:rsid w:val="00755F3C"/>
    <w:rsid w:val="007639ED"/>
    <w:rsid w:val="0076431D"/>
    <w:rsid w:val="0077045C"/>
    <w:rsid w:val="0077327F"/>
    <w:rsid w:val="007736A4"/>
    <w:rsid w:val="00773836"/>
    <w:rsid w:val="00775B08"/>
    <w:rsid w:val="00776136"/>
    <w:rsid w:val="007818B2"/>
    <w:rsid w:val="00782004"/>
    <w:rsid w:val="00782253"/>
    <w:rsid w:val="00784291"/>
    <w:rsid w:val="007A3A71"/>
    <w:rsid w:val="007A418E"/>
    <w:rsid w:val="007A49E2"/>
    <w:rsid w:val="007A59F7"/>
    <w:rsid w:val="007A7327"/>
    <w:rsid w:val="007B0829"/>
    <w:rsid w:val="007E5955"/>
    <w:rsid w:val="007F06F1"/>
    <w:rsid w:val="007F10E9"/>
    <w:rsid w:val="007F20D4"/>
    <w:rsid w:val="007F2FF2"/>
    <w:rsid w:val="007F66EC"/>
    <w:rsid w:val="007F7E94"/>
    <w:rsid w:val="008030BA"/>
    <w:rsid w:val="00805276"/>
    <w:rsid w:val="00812D7B"/>
    <w:rsid w:val="00813830"/>
    <w:rsid w:val="008155DE"/>
    <w:rsid w:val="00821AF9"/>
    <w:rsid w:val="00825FD7"/>
    <w:rsid w:val="008576E2"/>
    <w:rsid w:val="008609C0"/>
    <w:rsid w:val="00865046"/>
    <w:rsid w:val="008706D9"/>
    <w:rsid w:val="00873C56"/>
    <w:rsid w:val="00877615"/>
    <w:rsid w:val="00882407"/>
    <w:rsid w:val="0088320C"/>
    <w:rsid w:val="00883D27"/>
    <w:rsid w:val="00886E68"/>
    <w:rsid w:val="00895876"/>
    <w:rsid w:val="00896B8C"/>
    <w:rsid w:val="008A1B84"/>
    <w:rsid w:val="008A5776"/>
    <w:rsid w:val="008B0CD7"/>
    <w:rsid w:val="008B372C"/>
    <w:rsid w:val="008B4B04"/>
    <w:rsid w:val="008B7055"/>
    <w:rsid w:val="008B742D"/>
    <w:rsid w:val="008C6210"/>
    <w:rsid w:val="008D1BCE"/>
    <w:rsid w:val="008D21FB"/>
    <w:rsid w:val="008D234E"/>
    <w:rsid w:val="008E097E"/>
    <w:rsid w:val="008E2552"/>
    <w:rsid w:val="008E77A4"/>
    <w:rsid w:val="008E78A6"/>
    <w:rsid w:val="008F6AC7"/>
    <w:rsid w:val="009068C3"/>
    <w:rsid w:val="009105CA"/>
    <w:rsid w:val="009107BF"/>
    <w:rsid w:val="00912723"/>
    <w:rsid w:val="00915135"/>
    <w:rsid w:val="00920F4F"/>
    <w:rsid w:val="009217E8"/>
    <w:rsid w:val="00925C70"/>
    <w:rsid w:val="00927319"/>
    <w:rsid w:val="0092762D"/>
    <w:rsid w:val="00930DF8"/>
    <w:rsid w:val="00942E9F"/>
    <w:rsid w:val="00947E85"/>
    <w:rsid w:val="00952728"/>
    <w:rsid w:val="009570C3"/>
    <w:rsid w:val="009578F2"/>
    <w:rsid w:val="0096271A"/>
    <w:rsid w:val="0096349F"/>
    <w:rsid w:val="0096626E"/>
    <w:rsid w:val="0097068E"/>
    <w:rsid w:val="009818E8"/>
    <w:rsid w:val="009834DF"/>
    <w:rsid w:val="009848EE"/>
    <w:rsid w:val="00986E3B"/>
    <w:rsid w:val="0098745F"/>
    <w:rsid w:val="00987B1B"/>
    <w:rsid w:val="00992A40"/>
    <w:rsid w:val="009B4833"/>
    <w:rsid w:val="009B49CE"/>
    <w:rsid w:val="009B574E"/>
    <w:rsid w:val="009C4BEB"/>
    <w:rsid w:val="009C5F5A"/>
    <w:rsid w:val="009C71FE"/>
    <w:rsid w:val="009E240F"/>
    <w:rsid w:val="009E5CF4"/>
    <w:rsid w:val="009F0853"/>
    <w:rsid w:val="009F2A10"/>
    <w:rsid w:val="00A14891"/>
    <w:rsid w:val="00A17B88"/>
    <w:rsid w:val="00A24A59"/>
    <w:rsid w:val="00A4757C"/>
    <w:rsid w:val="00A504CE"/>
    <w:rsid w:val="00A56E78"/>
    <w:rsid w:val="00A5763B"/>
    <w:rsid w:val="00A6527B"/>
    <w:rsid w:val="00A77DFD"/>
    <w:rsid w:val="00A8160B"/>
    <w:rsid w:val="00A919E7"/>
    <w:rsid w:val="00A92D37"/>
    <w:rsid w:val="00AA3DCF"/>
    <w:rsid w:val="00AB47C5"/>
    <w:rsid w:val="00AB6748"/>
    <w:rsid w:val="00AB69AB"/>
    <w:rsid w:val="00AC2491"/>
    <w:rsid w:val="00AC28E8"/>
    <w:rsid w:val="00AC35C5"/>
    <w:rsid w:val="00AE2943"/>
    <w:rsid w:val="00B040DA"/>
    <w:rsid w:val="00B10343"/>
    <w:rsid w:val="00B114B5"/>
    <w:rsid w:val="00B1244C"/>
    <w:rsid w:val="00B14975"/>
    <w:rsid w:val="00B150CE"/>
    <w:rsid w:val="00B23872"/>
    <w:rsid w:val="00B23EFD"/>
    <w:rsid w:val="00B26B9F"/>
    <w:rsid w:val="00B37802"/>
    <w:rsid w:val="00B42BC3"/>
    <w:rsid w:val="00B43DE4"/>
    <w:rsid w:val="00B50CCA"/>
    <w:rsid w:val="00B57E22"/>
    <w:rsid w:val="00B60921"/>
    <w:rsid w:val="00B616D8"/>
    <w:rsid w:val="00B6273B"/>
    <w:rsid w:val="00B62D9C"/>
    <w:rsid w:val="00B66065"/>
    <w:rsid w:val="00B95AD8"/>
    <w:rsid w:val="00BA1E4B"/>
    <w:rsid w:val="00BA32DE"/>
    <w:rsid w:val="00BA58DE"/>
    <w:rsid w:val="00BA7B69"/>
    <w:rsid w:val="00BB5E59"/>
    <w:rsid w:val="00BC29D1"/>
    <w:rsid w:val="00BC745C"/>
    <w:rsid w:val="00BD01BC"/>
    <w:rsid w:val="00BD02C9"/>
    <w:rsid w:val="00BD245E"/>
    <w:rsid w:val="00BD36F1"/>
    <w:rsid w:val="00BE0977"/>
    <w:rsid w:val="00BE3B36"/>
    <w:rsid w:val="00BF18B1"/>
    <w:rsid w:val="00BF670E"/>
    <w:rsid w:val="00BF7B09"/>
    <w:rsid w:val="00C05CE5"/>
    <w:rsid w:val="00C13D27"/>
    <w:rsid w:val="00C165F3"/>
    <w:rsid w:val="00C206C7"/>
    <w:rsid w:val="00C25415"/>
    <w:rsid w:val="00C26004"/>
    <w:rsid w:val="00C30680"/>
    <w:rsid w:val="00C37537"/>
    <w:rsid w:val="00C5085A"/>
    <w:rsid w:val="00C72239"/>
    <w:rsid w:val="00C82897"/>
    <w:rsid w:val="00C84054"/>
    <w:rsid w:val="00C948D6"/>
    <w:rsid w:val="00CA3F90"/>
    <w:rsid w:val="00CA5277"/>
    <w:rsid w:val="00CA5B73"/>
    <w:rsid w:val="00CA6CEF"/>
    <w:rsid w:val="00CA7722"/>
    <w:rsid w:val="00CB69A0"/>
    <w:rsid w:val="00CB7149"/>
    <w:rsid w:val="00CC1742"/>
    <w:rsid w:val="00CC1BB7"/>
    <w:rsid w:val="00CC200C"/>
    <w:rsid w:val="00CC3F97"/>
    <w:rsid w:val="00CC4072"/>
    <w:rsid w:val="00CC49B5"/>
    <w:rsid w:val="00CC5BBD"/>
    <w:rsid w:val="00CC6B51"/>
    <w:rsid w:val="00CD1461"/>
    <w:rsid w:val="00CD2A1F"/>
    <w:rsid w:val="00CD2A2E"/>
    <w:rsid w:val="00CF6286"/>
    <w:rsid w:val="00D03347"/>
    <w:rsid w:val="00D10C02"/>
    <w:rsid w:val="00D1566A"/>
    <w:rsid w:val="00D264E1"/>
    <w:rsid w:val="00D26768"/>
    <w:rsid w:val="00D32CE0"/>
    <w:rsid w:val="00D348F3"/>
    <w:rsid w:val="00D544D4"/>
    <w:rsid w:val="00D6647A"/>
    <w:rsid w:val="00D67FF7"/>
    <w:rsid w:val="00D7107F"/>
    <w:rsid w:val="00D87232"/>
    <w:rsid w:val="00D87273"/>
    <w:rsid w:val="00D93B33"/>
    <w:rsid w:val="00D9765C"/>
    <w:rsid w:val="00DA1661"/>
    <w:rsid w:val="00DB2F3E"/>
    <w:rsid w:val="00DB6253"/>
    <w:rsid w:val="00DB7A03"/>
    <w:rsid w:val="00DC799D"/>
    <w:rsid w:val="00DD0089"/>
    <w:rsid w:val="00DD66F0"/>
    <w:rsid w:val="00DD7976"/>
    <w:rsid w:val="00E045EB"/>
    <w:rsid w:val="00E16C6E"/>
    <w:rsid w:val="00E22341"/>
    <w:rsid w:val="00E3082F"/>
    <w:rsid w:val="00E315E2"/>
    <w:rsid w:val="00E44F12"/>
    <w:rsid w:val="00E46D77"/>
    <w:rsid w:val="00E47106"/>
    <w:rsid w:val="00E52331"/>
    <w:rsid w:val="00E523C0"/>
    <w:rsid w:val="00E52F09"/>
    <w:rsid w:val="00E57E4C"/>
    <w:rsid w:val="00E64EAE"/>
    <w:rsid w:val="00E77F9B"/>
    <w:rsid w:val="00E819F5"/>
    <w:rsid w:val="00E922CA"/>
    <w:rsid w:val="00E94080"/>
    <w:rsid w:val="00E95697"/>
    <w:rsid w:val="00EA5610"/>
    <w:rsid w:val="00EA6AF8"/>
    <w:rsid w:val="00EB0E57"/>
    <w:rsid w:val="00EC0CE1"/>
    <w:rsid w:val="00EC1A6D"/>
    <w:rsid w:val="00EC52A2"/>
    <w:rsid w:val="00EC7922"/>
    <w:rsid w:val="00EC7F03"/>
    <w:rsid w:val="00ED653C"/>
    <w:rsid w:val="00EE3904"/>
    <w:rsid w:val="00EE7161"/>
    <w:rsid w:val="00EF2B0C"/>
    <w:rsid w:val="00EF4EC9"/>
    <w:rsid w:val="00EF7500"/>
    <w:rsid w:val="00F03D34"/>
    <w:rsid w:val="00F05338"/>
    <w:rsid w:val="00F211D5"/>
    <w:rsid w:val="00F21B00"/>
    <w:rsid w:val="00F34035"/>
    <w:rsid w:val="00F42A0F"/>
    <w:rsid w:val="00F50A87"/>
    <w:rsid w:val="00F52D28"/>
    <w:rsid w:val="00F55D72"/>
    <w:rsid w:val="00F562C6"/>
    <w:rsid w:val="00F57003"/>
    <w:rsid w:val="00F57636"/>
    <w:rsid w:val="00F64434"/>
    <w:rsid w:val="00F64DAA"/>
    <w:rsid w:val="00F73CA7"/>
    <w:rsid w:val="00F744A6"/>
    <w:rsid w:val="00F77977"/>
    <w:rsid w:val="00F87C38"/>
    <w:rsid w:val="00FA1B81"/>
    <w:rsid w:val="00FA246D"/>
    <w:rsid w:val="00FB0447"/>
    <w:rsid w:val="00FB6818"/>
    <w:rsid w:val="00FC19F2"/>
    <w:rsid w:val="00FC2CBF"/>
    <w:rsid w:val="00FC64C8"/>
    <w:rsid w:val="00FC6688"/>
    <w:rsid w:val="00FD7C76"/>
    <w:rsid w:val="00FE3AC8"/>
    <w:rsid w:val="00FF083F"/>
    <w:rsid w:val="00FF1D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paragraph" w:customStyle="1" w:styleId="Default">
    <w:name w:val="Default"/>
    <w:rsid w:val="0088320C"/>
    <w:pPr>
      <w:autoSpaceDE w:val="0"/>
      <w:autoSpaceDN w:val="0"/>
      <w:adjustRightInd w:val="0"/>
      <w:spacing w:line="240" w:lineRule="auto"/>
    </w:pPr>
    <w:rPr>
      <w:rFonts w:ascii="EUAlbertina" w:hAnsi="EUAlbertina" w:cs="EUAlbertina"/>
      <w:color w:val="000000"/>
    </w:rPr>
  </w:style>
  <w:style w:type="paragraph" w:styleId="Liststycke">
    <w:name w:val="List Paragraph"/>
    <w:basedOn w:val="Normal"/>
    <w:uiPriority w:val="34"/>
    <w:semiHidden/>
    <w:qFormat/>
    <w:rsid w:val="00FF083F"/>
    <w:pPr>
      <w:ind w:left="720"/>
      <w:contextualSpacing/>
    </w:pPr>
  </w:style>
  <w:style w:type="paragraph" w:styleId="Fotnotstext">
    <w:name w:val="footnote text"/>
    <w:basedOn w:val="Normal"/>
    <w:link w:val="FotnotstextChar"/>
    <w:uiPriority w:val="99"/>
    <w:semiHidden/>
    <w:unhideWhenUsed/>
    <w:rsid w:val="00FD7C76"/>
    <w:pPr>
      <w:spacing w:line="240" w:lineRule="auto"/>
    </w:pPr>
    <w:rPr>
      <w:sz w:val="20"/>
      <w:szCs w:val="20"/>
    </w:rPr>
  </w:style>
  <w:style w:type="character" w:customStyle="1" w:styleId="FotnotstextChar">
    <w:name w:val="Fotnotstext Char"/>
    <w:basedOn w:val="Standardstycketeckensnitt"/>
    <w:link w:val="Fotnotstext"/>
    <w:uiPriority w:val="99"/>
    <w:semiHidden/>
    <w:rsid w:val="00FD7C76"/>
    <w:rPr>
      <w:sz w:val="20"/>
      <w:szCs w:val="20"/>
    </w:rPr>
  </w:style>
  <w:style w:type="character" w:styleId="Fotnotsreferens">
    <w:name w:val="footnote reference"/>
    <w:basedOn w:val="Standardstycketeckensnitt"/>
    <w:uiPriority w:val="99"/>
    <w:semiHidden/>
    <w:unhideWhenUsed/>
    <w:rsid w:val="00FD7C76"/>
    <w:rPr>
      <w:vertAlign w:val="superscript"/>
    </w:rPr>
  </w:style>
  <w:style w:type="table" w:customStyle="1" w:styleId="Tabellrutnt1">
    <w:name w:val="Tabellrutnät1"/>
    <w:basedOn w:val="Normaltabell"/>
    <w:next w:val="Tabellrutnt"/>
    <w:rsid w:val="00FE3A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8650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 w:id="14225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F67DE5C4-9F36-48A4-B3BD-BB161AC8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4739</Words>
  <Characters>25121</Characters>
  <Application>Microsoft Office Word</Application>
  <DocSecurity>0</DocSecurity>
  <Lines>209</Lines>
  <Paragraphs>59</Paragraphs>
  <ScaleCrop>false</ScaleCrop>
  <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2021-04-13T10:13:00Z</dcterms:created>
  <dcterms:modified xsi:type="dcterms:W3CDTF">2021-04-13T10:14:00Z</dcterms:modified>
</cp:coreProperties>
</file>