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66" w:rsidRPr="00854841" w:rsidRDefault="00854841" w:rsidP="00854841">
      <w:pPr>
        <w:spacing w:line="240" w:lineRule="auto"/>
        <w:rPr>
          <w:b/>
          <w:sz w:val="2"/>
          <w:szCs w:val="2"/>
        </w:rPr>
      </w:pPr>
      <w:r w:rsidRPr="00854841">
        <w:rPr>
          <w:b/>
          <w:sz w:val="18"/>
        </w:rPr>
        <w:t>Bilaga 17. Avprickningslista för prospekt.</w:t>
      </w:r>
    </w:p>
    <w:p w:rsidR="00692266" w:rsidRDefault="00692266" w:rsidP="00692266">
      <w:pPr>
        <w:pStyle w:val="Rubrik1"/>
        <w:spacing w:after="320"/>
      </w:pPr>
    </w:p>
    <w:p w:rsidR="00692266" w:rsidRDefault="00692266" w:rsidP="00692266">
      <w:pPr>
        <w:pStyle w:val="Rubrik1"/>
        <w:spacing w:after="320"/>
      </w:pPr>
    </w:p>
    <w:p w:rsidR="00692266" w:rsidRDefault="00692266" w:rsidP="00692266">
      <w:pPr>
        <w:pStyle w:val="Rubrik1"/>
        <w:spacing w:after="320"/>
      </w:pPr>
    </w:p>
    <w:p w:rsidR="0096271A" w:rsidRPr="00C455D5" w:rsidRDefault="00705617" w:rsidP="00CC1BB7">
      <w:pPr>
        <w:pStyle w:val="Rubrik1"/>
        <w:spacing w:after="320"/>
      </w:pPr>
      <w:r w:rsidRPr="00C455D5">
        <w:t xml:space="preserve">Värdepapper som </w:t>
      </w:r>
      <w:r w:rsidR="00C455D5" w:rsidRPr="00C455D5">
        <w:t>skapar betalnings- eller leveransskyldigheter kopplade till en underliggande tillgång</w:t>
      </w:r>
    </w:p>
    <w:p w:rsidR="00692266" w:rsidRDefault="00692266" w:rsidP="00C455D5">
      <w:r w:rsidRPr="00854841">
        <w:rPr>
          <w:u w:val="single"/>
        </w:rPr>
        <w:t>Emittent</w:t>
      </w:r>
      <w:r>
        <w:t xml:space="preserve">: </w:t>
      </w:r>
      <w:r w:rsidRPr="00C455D5">
        <w:fldChar w:fldCharType="begin" w:fldLock="1">
          <w:ffData>
            <w:name w:val="Text1"/>
            <w:enabled/>
            <w:calcOnExit w:val="0"/>
            <w:textInput/>
          </w:ffData>
        </w:fldChar>
      </w:r>
      <w:bookmarkStart w:id="0" w:name="Text1"/>
      <w:r w:rsidRPr="00C455D5">
        <w:instrText xml:space="preserve"> FORMTEXT </w:instrText>
      </w:r>
      <w:r w:rsidRPr="00C455D5">
        <w:fldChar w:fldCharType="separate"/>
      </w:r>
      <w:bookmarkStart w:id="1" w:name="_GoBack"/>
      <w:r>
        <w:t> </w:t>
      </w:r>
      <w:r>
        <w:t> </w:t>
      </w:r>
      <w:r>
        <w:t> </w:t>
      </w:r>
      <w:r>
        <w:t> </w:t>
      </w:r>
      <w:r>
        <w:t> </w:t>
      </w:r>
      <w:bookmarkEnd w:id="1"/>
      <w:r w:rsidRPr="00C455D5">
        <w:fldChar w:fldCharType="end"/>
      </w:r>
      <w:bookmarkEnd w:id="0"/>
    </w:p>
    <w:p w:rsidR="00C455D5" w:rsidRDefault="00C455D5" w:rsidP="00C455D5"/>
    <w:p w:rsidR="00692266" w:rsidRDefault="00692266" w:rsidP="00692266"/>
    <w:tbl>
      <w:tblPr>
        <w:tblStyle w:val="Tabellrutnt"/>
        <w:tblW w:w="9493" w:type="dxa"/>
        <w:tblLook w:val="04A0" w:firstRow="1" w:lastRow="0" w:firstColumn="1" w:lastColumn="0" w:noHBand="0" w:noVBand="1"/>
      </w:tblPr>
      <w:tblGrid>
        <w:gridCol w:w="4521"/>
        <w:gridCol w:w="1123"/>
        <w:gridCol w:w="1310"/>
        <w:gridCol w:w="2539"/>
      </w:tblGrid>
      <w:tr w:rsidR="00436585" w:rsidTr="005A58CA">
        <w:tc>
          <w:tcPr>
            <w:tcW w:w="9493" w:type="dxa"/>
            <w:gridSpan w:val="4"/>
            <w:tcMar>
              <w:top w:w="85" w:type="dxa"/>
              <w:bottom w:w="85" w:type="dxa"/>
            </w:tcMar>
          </w:tcPr>
          <w:p w:rsidR="00436585" w:rsidRPr="0097068E" w:rsidRDefault="00436585" w:rsidP="005A58CA">
            <w:pPr>
              <w:rPr>
                <w:b/>
              </w:rPr>
            </w:pPr>
            <w:r>
              <w:rPr>
                <w:b/>
              </w:rPr>
              <w:t>1</w:t>
            </w:r>
            <w:r w:rsidRPr="0097068E">
              <w:rPr>
                <w:b/>
              </w:rPr>
              <w:t xml:space="preserve"> </w:t>
            </w:r>
            <w:r>
              <w:rPr>
                <w:b/>
              </w:rPr>
              <w:t>RISKFAKTORER</w:t>
            </w:r>
          </w:p>
        </w:tc>
      </w:tr>
      <w:tr w:rsidR="00436585" w:rsidTr="00854841">
        <w:tc>
          <w:tcPr>
            <w:tcW w:w="4531" w:type="dxa"/>
            <w:tcMar>
              <w:top w:w="85" w:type="dxa"/>
              <w:bottom w:w="85" w:type="dxa"/>
            </w:tcMar>
          </w:tcPr>
          <w:p w:rsidR="00436585" w:rsidRPr="0097068E" w:rsidRDefault="00436585" w:rsidP="005A58CA">
            <w:pPr>
              <w:rPr>
                <w:b/>
              </w:rPr>
            </w:pPr>
            <w:r w:rsidRPr="0097068E">
              <w:rPr>
                <w:b/>
              </w:rPr>
              <w:t xml:space="preserve">Punkt enligt kommissionens </w:t>
            </w:r>
            <w:r>
              <w:rPr>
                <w:b/>
              </w:rPr>
              <w:t>delegerade förordning (EU</w:t>
            </w:r>
            <w:r w:rsidRPr="0097068E">
              <w:rPr>
                <w:b/>
              </w:rPr>
              <w:t xml:space="preserve">) </w:t>
            </w:r>
            <w:r w:rsidR="007878F9" w:rsidRPr="005F06EF">
              <w:rPr>
                <w:b/>
              </w:rPr>
              <w:t>2019/980</w:t>
            </w:r>
          </w:p>
        </w:tc>
        <w:tc>
          <w:tcPr>
            <w:tcW w:w="1109" w:type="dxa"/>
          </w:tcPr>
          <w:p w:rsidR="00436585" w:rsidRPr="0097068E" w:rsidRDefault="007878F9" w:rsidP="005A58CA">
            <w:pPr>
              <w:rPr>
                <w:b/>
              </w:rPr>
            </w:pPr>
            <w:r>
              <w:rPr>
                <w:b/>
              </w:rPr>
              <w:t>Kate</w:t>
            </w:r>
            <w:r w:rsidR="00436585">
              <w:rPr>
                <w:b/>
              </w:rPr>
              <w:t>gori</w:t>
            </w:r>
          </w:p>
        </w:tc>
        <w:tc>
          <w:tcPr>
            <w:tcW w:w="1310" w:type="dxa"/>
            <w:tcMar>
              <w:top w:w="85" w:type="dxa"/>
              <w:bottom w:w="85" w:type="dxa"/>
            </w:tcMar>
          </w:tcPr>
          <w:p w:rsidR="00436585" w:rsidRPr="00012EFB" w:rsidRDefault="00436585" w:rsidP="005A58CA">
            <w:pPr>
              <w:rPr>
                <w:b/>
              </w:rPr>
            </w:pPr>
            <w:r>
              <w:rPr>
                <w:b/>
              </w:rPr>
              <w:t>Sidor i</w:t>
            </w:r>
            <w:r>
              <w:rPr>
                <w:b/>
              </w:rPr>
              <w:br/>
              <w:t>prospektet</w:t>
            </w:r>
          </w:p>
        </w:tc>
        <w:tc>
          <w:tcPr>
            <w:tcW w:w="2543" w:type="dxa"/>
            <w:tcMar>
              <w:top w:w="85" w:type="dxa"/>
              <w:bottom w:w="85" w:type="dxa"/>
            </w:tcMar>
          </w:tcPr>
          <w:p w:rsidR="00436585" w:rsidRPr="0097068E" w:rsidRDefault="00436585" w:rsidP="005A58CA">
            <w:pPr>
              <w:rPr>
                <w:b/>
              </w:rPr>
            </w:pPr>
            <w:r w:rsidRPr="0097068E">
              <w:rPr>
                <w:b/>
              </w:rPr>
              <w:t>Bolagets kommentarer</w:t>
            </w:r>
          </w:p>
        </w:tc>
      </w:tr>
      <w:tr w:rsidR="00436585" w:rsidTr="00854841">
        <w:tc>
          <w:tcPr>
            <w:tcW w:w="4531" w:type="dxa"/>
            <w:tcMar>
              <w:top w:w="85" w:type="dxa"/>
              <w:bottom w:w="85" w:type="dxa"/>
            </w:tcMar>
          </w:tcPr>
          <w:p w:rsidR="00436585" w:rsidRDefault="00436585" w:rsidP="00597469">
            <w:r>
              <w:t>1.1</w:t>
            </w:r>
            <w:r w:rsidR="002E2B2B">
              <w:t xml:space="preserve"> </w:t>
            </w:r>
            <w:r w:rsidR="001F441C" w:rsidRPr="001F441C">
              <w:t>Information på framträdande plats i ett avsnitt med rubriken ”Riskfaktorer” om de riskfaktorer som är väsentliga för de värdepapper som erbjuds och/eller tas upp till handel, så att en bedömning kan göras av de marknadsrisker som är förenade med värdepapperen. I tillämpliga fall ska detta inbegripa en varning om att investerare kan förlora hela värdet av investeringen eller en del av detta beroende på omständigheterna; om investerarens ansvar inte är begränsat till värdet på investeringen ska detta anges tillsammans med en beskrivning av de omständigheter under vilka ett sådant utvidgat ansvar uppkommer och dess troliga finansiella följder.</w:t>
            </w:r>
          </w:p>
        </w:tc>
        <w:tc>
          <w:tcPr>
            <w:tcW w:w="1109" w:type="dxa"/>
          </w:tcPr>
          <w:p w:rsidR="00436585" w:rsidRPr="00EA76B8" w:rsidRDefault="00436585" w:rsidP="005A58CA">
            <w:r>
              <w:t>A</w:t>
            </w:r>
          </w:p>
        </w:tc>
        <w:tc>
          <w:tcPr>
            <w:tcW w:w="1310" w:type="dxa"/>
            <w:tcMar>
              <w:top w:w="85" w:type="dxa"/>
              <w:bottom w:w="85" w:type="dxa"/>
            </w:tcMar>
          </w:tcPr>
          <w:p w:rsidR="00436585" w:rsidRDefault="00436585"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3" w:type="dxa"/>
            <w:tcMar>
              <w:top w:w="85" w:type="dxa"/>
              <w:bottom w:w="85" w:type="dxa"/>
            </w:tcMar>
          </w:tcPr>
          <w:p w:rsidR="00436585" w:rsidRDefault="00436585"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436585" w:rsidRDefault="00436585" w:rsidP="00692266"/>
    <w:tbl>
      <w:tblPr>
        <w:tblStyle w:val="Tabellrutnt"/>
        <w:tblW w:w="9493" w:type="dxa"/>
        <w:tblLook w:val="04A0" w:firstRow="1" w:lastRow="0" w:firstColumn="1" w:lastColumn="0" w:noHBand="0" w:noVBand="1"/>
      </w:tblPr>
      <w:tblGrid>
        <w:gridCol w:w="4505"/>
        <w:gridCol w:w="1134"/>
        <w:gridCol w:w="1310"/>
        <w:gridCol w:w="2544"/>
      </w:tblGrid>
      <w:tr w:rsidR="00854841" w:rsidTr="00AF3861">
        <w:tc>
          <w:tcPr>
            <w:tcW w:w="9493" w:type="dxa"/>
            <w:gridSpan w:val="4"/>
            <w:tcMar>
              <w:top w:w="85" w:type="dxa"/>
              <w:bottom w:w="85" w:type="dxa"/>
            </w:tcMar>
          </w:tcPr>
          <w:p w:rsidR="00854841" w:rsidRPr="0097068E" w:rsidRDefault="00854841" w:rsidP="00AF3861">
            <w:pPr>
              <w:rPr>
                <w:b/>
              </w:rPr>
            </w:pPr>
            <w:r>
              <w:rPr>
                <w:b/>
              </w:rPr>
              <w:t>2 I</w:t>
            </w:r>
            <w:r w:rsidRPr="00854841">
              <w:rPr>
                <w:b/>
              </w:rPr>
              <w:t>NFORMATION OM DE VÄRDEPAPPER SOM ERBJUDS/TAS UPP TILL HANDEL</w:t>
            </w:r>
          </w:p>
        </w:tc>
      </w:tr>
      <w:tr w:rsidR="00854841" w:rsidTr="00854841">
        <w:tc>
          <w:tcPr>
            <w:tcW w:w="4505" w:type="dxa"/>
            <w:tcMar>
              <w:top w:w="85" w:type="dxa"/>
              <w:bottom w:w="85" w:type="dxa"/>
            </w:tcMar>
          </w:tcPr>
          <w:p w:rsidR="00854841" w:rsidRPr="0097068E" w:rsidRDefault="00854841" w:rsidP="00AF3861">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34" w:type="dxa"/>
          </w:tcPr>
          <w:p w:rsidR="00854841" w:rsidRPr="0097068E" w:rsidRDefault="00854841" w:rsidP="00AF3861">
            <w:pPr>
              <w:rPr>
                <w:b/>
              </w:rPr>
            </w:pPr>
            <w:r>
              <w:rPr>
                <w:b/>
              </w:rPr>
              <w:t>Kategori</w:t>
            </w:r>
          </w:p>
        </w:tc>
        <w:tc>
          <w:tcPr>
            <w:tcW w:w="1310" w:type="dxa"/>
            <w:tcMar>
              <w:top w:w="85" w:type="dxa"/>
              <w:bottom w:w="85" w:type="dxa"/>
            </w:tcMar>
          </w:tcPr>
          <w:p w:rsidR="00854841" w:rsidRPr="00012EFB" w:rsidRDefault="00854841" w:rsidP="00AF3861">
            <w:pPr>
              <w:rPr>
                <w:b/>
              </w:rPr>
            </w:pPr>
            <w:r>
              <w:rPr>
                <w:b/>
              </w:rPr>
              <w:t>Sidor i</w:t>
            </w:r>
            <w:r>
              <w:rPr>
                <w:b/>
              </w:rPr>
              <w:br/>
              <w:t>prospektet</w:t>
            </w:r>
          </w:p>
        </w:tc>
        <w:tc>
          <w:tcPr>
            <w:tcW w:w="2544" w:type="dxa"/>
            <w:tcMar>
              <w:top w:w="85" w:type="dxa"/>
              <w:bottom w:w="85" w:type="dxa"/>
            </w:tcMar>
          </w:tcPr>
          <w:p w:rsidR="00854841" w:rsidRPr="0097068E" w:rsidRDefault="00854841" w:rsidP="00AF3861">
            <w:pPr>
              <w:rPr>
                <w:b/>
              </w:rPr>
            </w:pPr>
            <w:r w:rsidRPr="0097068E">
              <w:rPr>
                <w:b/>
              </w:rPr>
              <w:t>Bolagets kommentarer</w:t>
            </w:r>
          </w:p>
        </w:tc>
      </w:tr>
      <w:tr w:rsidR="001E231D" w:rsidTr="00854841">
        <w:tc>
          <w:tcPr>
            <w:tcW w:w="4505" w:type="dxa"/>
            <w:tcMar>
              <w:top w:w="85" w:type="dxa"/>
              <w:bottom w:w="85" w:type="dxa"/>
            </w:tcMar>
          </w:tcPr>
          <w:p w:rsidR="001E231D" w:rsidRDefault="001E231D" w:rsidP="005A58CA">
            <w:r>
              <w:t>2.1</w:t>
            </w:r>
            <w:r w:rsidR="00501655">
              <w:t xml:space="preserve"> </w:t>
            </w:r>
            <w:r w:rsidR="00501655" w:rsidRPr="00501655">
              <w:t>Information om värdepapperen</w:t>
            </w:r>
          </w:p>
        </w:tc>
        <w:tc>
          <w:tcPr>
            <w:tcW w:w="1134" w:type="dxa"/>
          </w:tcPr>
          <w:p w:rsidR="001E231D" w:rsidRPr="00EA76B8" w:rsidRDefault="001E231D" w:rsidP="005A58CA"/>
        </w:tc>
        <w:tc>
          <w:tcPr>
            <w:tcW w:w="1310" w:type="dxa"/>
            <w:tcMar>
              <w:top w:w="85" w:type="dxa"/>
              <w:bottom w:w="85" w:type="dxa"/>
            </w:tcMar>
          </w:tcPr>
          <w:p w:rsidR="001E231D" w:rsidRDefault="001E231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Default="001E231D"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Tr="00854841">
        <w:tc>
          <w:tcPr>
            <w:tcW w:w="4505" w:type="dxa"/>
            <w:tcMar>
              <w:top w:w="85" w:type="dxa"/>
              <w:bottom w:w="85" w:type="dxa"/>
            </w:tcMar>
          </w:tcPr>
          <w:p w:rsidR="001E231D" w:rsidRDefault="001E231D" w:rsidP="005A58CA">
            <w:r>
              <w:t>2.1.1</w:t>
            </w:r>
            <w:r w:rsidR="00501655">
              <w:t xml:space="preserve"> </w:t>
            </w:r>
            <w:r w:rsidR="001F441C" w:rsidRPr="001F441C">
              <w:t xml:space="preserve">En tydlig och fullständig förklaring som kan bidra till investerarnas förståelse av hur värdet på deras investeringar påverkas av värdet på det eller de underliggande instrumenten, särskilt under de förhållanden då riskerna är som mest uppenbara, såvida inte värdepapperens nominella värde per enhet är minst 100 000 EUR eller de inte </w:t>
            </w:r>
            <w:r w:rsidR="001F441C" w:rsidRPr="001F441C">
              <w:lastRenderedPageBreak/>
              <w:t>kan förvärvas för mindre än 100 000 EUR per enhet eller om de ska handlas på en reglerad marknad eller ett särskilt segment därav till vilken eller vilket endast kvalificerade investerare kan få tillträde.</w:t>
            </w:r>
          </w:p>
        </w:tc>
        <w:tc>
          <w:tcPr>
            <w:tcW w:w="1134" w:type="dxa"/>
          </w:tcPr>
          <w:p w:rsidR="001E231D" w:rsidRDefault="001E231D" w:rsidP="005A58CA">
            <w:r>
              <w:lastRenderedPageBreak/>
              <w:t>B</w:t>
            </w:r>
          </w:p>
        </w:tc>
        <w:tc>
          <w:tcPr>
            <w:tcW w:w="1310"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Tr="00854841">
        <w:tc>
          <w:tcPr>
            <w:tcW w:w="4505" w:type="dxa"/>
            <w:tcMar>
              <w:top w:w="85" w:type="dxa"/>
              <w:bottom w:w="85" w:type="dxa"/>
            </w:tcMar>
          </w:tcPr>
          <w:p w:rsidR="001E231D" w:rsidRDefault="001E231D" w:rsidP="005A58CA">
            <w:r>
              <w:t>2.1.2</w:t>
            </w:r>
            <w:r w:rsidR="00501655">
              <w:t xml:space="preserve"> </w:t>
            </w:r>
            <w:r w:rsidR="00501655" w:rsidRPr="00501655">
              <w:t>Stängnings- eller förfallodag för derivatinstrumenten och deras lösendag eller slutliga referensdag.</w:t>
            </w:r>
          </w:p>
        </w:tc>
        <w:tc>
          <w:tcPr>
            <w:tcW w:w="1134" w:type="dxa"/>
          </w:tcPr>
          <w:p w:rsidR="001E231D" w:rsidRDefault="001E231D" w:rsidP="005A58CA">
            <w:r>
              <w:t>C</w:t>
            </w:r>
          </w:p>
        </w:tc>
        <w:tc>
          <w:tcPr>
            <w:tcW w:w="1310"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Tr="00854841">
        <w:tc>
          <w:tcPr>
            <w:tcW w:w="4505" w:type="dxa"/>
            <w:tcMar>
              <w:top w:w="85" w:type="dxa"/>
              <w:bottom w:w="85" w:type="dxa"/>
            </w:tcMar>
          </w:tcPr>
          <w:p w:rsidR="001E231D" w:rsidRDefault="001E231D" w:rsidP="005A58CA">
            <w:r>
              <w:t>2.1.3</w:t>
            </w:r>
            <w:r w:rsidR="00501655">
              <w:t xml:space="preserve"> </w:t>
            </w:r>
            <w:r w:rsidR="00501655" w:rsidRPr="00501655">
              <w:t>En beskrivning av förfarandet för avveckling av derivatinstrumenten.</w:t>
            </w:r>
          </w:p>
        </w:tc>
        <w:tc>
          <w:tcPr>
            <w:tcW w:w="1134" w:type="dxa"/>
          </w:tcPr>
          <w:p w:rsidR="001E231D" w:rsidRDefault="001E231D" w:rsidP="005A58CA">
            <w:r>
              <w:t>B</w:t>
            </w:r>
          </w:p>
        </w:tc>
        <w:tc>
          <w:tcPr>
            <w:tcW w:w="1310"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Tr="00854841">
        <w:tc>
          <w:tcPr>
            <w:tcW w:w="4505" w:type="dxa"/>
            <w:tcMar>
              <w:top w:w="85" w:type="dxa"/>
              <w:bottom w:w="85" w:type="dxa"/>
            </w:tcMar>
          </w:tcPr>
          <w:p w:rsidR="00501655" w:rsidRDefault="001E231D" w:rsidP="00501655">
            <w:r>
              <w:t>2.1.4</w:t>
            </w:r>
            <w:r w:rsidR="00501655">
              <w:t xml:space="preserve"> En beskrivning av</w:t>
            </w:r>
          </w:p>
          <w:p w:rsidR="00501655" w:rsidRDefault="00501655" w:rsidP="00501655"/>
          <w:p w:rsidR="00501655" w:rsidRDefault="00501655" w:rsidP="00501655">
            <w:r>
              <w:t>a) förfarandet för avkastning på derivatinstrumenten,</w:t>
            </w:r>
          </w:p>
          <w:p w:rsidR="00501655" w:rsidRDefault="00501655" w:rsidP="00501655"/>
          <w:p w:rsidR="00597469" w:rsidRDefault="00501655" w:rsidP="00501655">
            <w:r>
              <w:t>b) betalnings- eller leveransdag,</w:t>
            </w:r>
          </w:p>
          <w:p w:rsidR="00501655" w:rsidRDefault="00501655" w:rsidP="00501655"/>
          <w:p w:rsidR="00501655" w:rsidRDefault="00501655" w:rsidP="00501655">
            <w:r w:rsidRPr="00501655">
              <w:t>c) dess beräkningsmetod.</w:t>
            </w:r>
          </w:p>
        </w:tc>
        <w:tc>
          <w:tcPr>
            <w:tcW w:w="1134" w:type="dxa"/>
          </w:tcPr>
          <w:p w:rsidR="00902017" w:rsidRDefault="00902017" w:rsidP="005A58CA"/>
          <w:p w:rsidR="00902017" w:rsidRDefault="00902017" w:rsidP="005A58CA"/>
          <w:p w:rsidR="001E231D" w:rsidRDefault="001E231D" w:rsidP="005A58CA">
            <w:r>
              <w:t>B</w:t>
            </w:r>
          </w:p>
          <w:p w:rsidR="00501655" w:rsidRDefault="00501655" w:rsidP="005A58CA"/>
          <w:p w:rsidR="00501655" w:rsidRDefault="00501655" w:rsidP="005A58CA"/>
          <w:p w:rsidR="00501655" w:rsidRDefault="001E231D" w:rsidP="005A58CA">
            <w:r>
              <w:t>C</w:t>
            </w:r>
          </w:p>
          <w:p w:rsidR="00501655" w:rsidRDefault="00501655" w:rsidP="005A58CA"/>
          <w:p w:rsidR="001E231D" w:rsidRDefault="001E231D" w:rsidP="005A58CA">
            <w:r>
              <w:t>B</w:t>
            </w:r>
          </w:p>
        </w:tc>
        <w:tc>
          <w:tcPr>
            <w:tcW w:w="1310"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Tr="00854841">
        <w:tc>
          <w:tcPr>
            <w:tcW w:w="4505" w:type="dxa"/>
            <w:tcMar>
              <w:top w:w="85" w:type="dxa"/>
              <w:bottom w:w="85" w:type="dxa"/>
            </w:tcMar>
          </w:tcPr>
          <w:p w:rsidR="001E231D" w:rsidRDefault="001E231D" w:rsidP="005A58CA">
            <w:r>
              <w:t>2.2</w:t>
            </w:r>
            <w:r w:rsidR="0072662E">
              <w:t xml:space="preserve"> </w:t>
            </w:r>
            <w:r w:rsidR="0072662E" w:rsidRPr="0072662E">
              <w:t>Information om det underliggande instrumentet</w:t>
            </w:r>
          </w:p>
        </w:tc>
        <w:tc>
          <w:tcPr>
            <w:tcW w:w="1134" w:type="dxa"/>
          </w:tcPr>
          <w:p w:rsidR="001E231D" w:rsidRDefault="001E231D" w:rsidP="005A58CA"/>
        </w:tc>
        <w:tc>
          <w:tcPr>
            <w:tcW w:w="1310"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Tr="00854841">
        <w:tc>
          <w:tcPr>
            <w:tcW w:w="4505" w:type="dxa"/>
            <w:tcMar>
              <w:top w:w="85" w:type="dxa"/>
              <w:bottom w:w="85" w:type="dxa"/>
            </w:tcMar>
          </w:tcPr>
          <w:p w:rsidR="001E231D" w:rsidRDefault="001E231D" w:rsidP="005A58CA">
            <w:r>
              <w:t>2.2.1</w:t>
            </w:r>
            <w:r w:rsidR="0072662E">
              <w:t xml:space="preserve"> </w:t>
            </w:r>
            <w:r w:rsidR="0072662E" w:rsidRPr="0072662E">
              <w:t>Lösenpris eller sista noterade pris för det underliggande instrumentet.</w:t>
            </w:r>
          </w:p>
        </w:tc>
        <w:tc>
          <w:tcPr>
            <w:tcW w:w="1134" w:type="dxa"/>
          </w:tcPr>
          <w:p w:rsidR="001E231D" w:rsidRDefault="001E231D" w:rsidP="005A58CA">
            <w:r>
              <w:t>C</w:t>
            </w:r>
          </w:p>
        </w:tc>
        <w:tc>
          <w:tcPr>
            <w:tcW w:w="1310"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RPr="001E231D" w:rsidTr="00854841">
        <w:tc>
          <w:tcPr>
            <w:tcW w:w="4505" w:type="dxa"/>
            <w:tcMar>
              <w:top w:w="85" w:type="dxa"/>
              <w:bottom w:w="85" w:type="dxa"/>
            </w:tcMar>
          </w:tcPr>
          <w:p w:rsidR="0072662E" w:rsidRDefault="001E231D" w:rsidP="0072662E">
            <w:r>
              <w:t>2.2.2</w:t>
            </w:r>
            <w:r w:rsidR="0072662E">
              <w:t xml:space="preserve"> En redogörelse för typen av underliggande instrument.</w:t>
            </w:r>
          </w:p>
          <w:p w:rsidR="0072662E" w:rsidRDefault="0072662E" w:rsidP="0072662E"/>
          <w:p w:rsidR="0072662E" w:rsidRDefault="0072662E" w:rsidP="0072662E">
            <w:r>
              <w:t>Närmare uppgifter om var man kan få information om det underliggande instrumentet, inbegripet var man på elektronisk väg kan få information om dess tidigare resultat, fortsatta utveckling och volatilitet, och huruvida denna information är gratis.</w:t>
            </w:r>
          </w:p>
          <w:p w:rsidR="0072662E" w:rsidRDefault="0072662E" w:rsidP="0072662E"/>
          <w:p w:rsidR="0072662E" w:rsidRDefault="0072662E" w:rsidP="0072662E">
            <w:r>
              <w:t>Om det underliggande instrumentet är ett värdepapper:</w:t>
            </w:r>
          </w:p>
          <w:p w:rsidR="0072662E" w:rsidRDefault="0072662E" w:rsidP="0072662E"/>
          <w:p w:rsidR="0072662E" w:rsidRDefault="0072662E" w:rsidP="0072662E">
            <w:r>
              <w:t>a) Namn på den emittent som utfärdat värdepapperet.</w:t>
            </w:r>
          </w:p>
          <w:p w:rsidR="0072662E" w:rsidRDefault="0072662E" w:rsidP="0072662E"/>
          <w:p w:rsidR="0072662E" w:rsidRDefault="0072662E" w:rsidP="0072662E">
            <w:r>
              <w:t>b) Internationellt standardnummer för värdepapper (ISIN).</w:t>
            </w:r>
          </w:p>
          <w:p w:rsidR="009F090D" w:rsidRDefault="009F090D" w:rsidP="0072662E"/>
          <w:p w:rsidR="0072662E" w:rsidRDefault="0072662E" w:rsidP="0072662E">
            <w:r>
              <w:lastRenderedPageBreak/>
              <w:t>Om det underliggande instrumentet är en referensenhet eller en referensförpliktelse (i fråga om kreditlänkade värdepapper):</w:t>
            </w:r>
          </w:p>
          <w:p w:rsidR="0072662E" w:rsidRDefault="0072662E" w:rsidP="0072662E"/>
          <w:p w:rsidR="001E231D" w:rsidRDefault="0072662E" w:rsidP="0072662E">
            <w:r>
              <w:t>a) När referensenheten eller referensförpliktelsen utgörs av en enda enhet eller förpliktelse, eller när det rör sig om en pool av underliggande instrument där en enda referensenhet eller referensförpliktelse motsvarar minst 20 % av polen:</w:t>
            </w:r>
          </w:p>
          <w:p w:rsidR="0072662E" w:rsidRDefault="0072662E" w:rsidP="0072662E"/>
          <w:p w:rsidR="0072662E" w:rsidRDefault="0072662E" w:rsidP="0072662E">
            <w:r>
              <w:t>i) Om referensenheten (eller emittenten av referensförpliktelsen) inte har några värdepapper upptagna till handel på en reglerad marknad, likvärdig tredjelandsmarknad eller tillväxtmarknad för små och medelstora företag, och i den utsträckning emittenten vet och/eller kan utröna av information som offentliggjorts av referensenheten (eller av emittenten av referensförpliktelsen), information om referensenheten (eller emittenten av referensförpliktelsen) som om den vore emittent (i enlighet med registreringsdokumentet för icke-aktierelaterade värdepapper som erbjuds till investerare i grossistledet).</w:t>
            </w:r>
          </w:p>
          <w:p w:rsidR="0072662E" w:rsidRDefault="0072662E" w:rsidP="0072662E"/>
          <w:p w:rsidR="002F1659" w:rsidRDefault="0072662E" w:rsidP="002F1659">
            <w:r>
              <w:t>ii) Om referensenheten (eller emittenten av referensförpliktelsen) redan har värdepapper</w:t>
            </w:r>
            <w:r w:rsidR="002F1659">
              <w:t xml:space="preserve"> upptagna till handel på en reglerad marknad, likvärdig tredjelandsmarknad eller tillväxtmarknad för små och medelstora företag, och i den utsträckning emittenten vet och/eller kan utröna av information som offentliggjorts av referensenheten (eller av emittenten av referensförpliktelsen), dennes namn, internationella standardnummer för värdepapper (ISIN), adress, registreringsland, bransch(er) där referensenheten (eller emittenten av referensförpliktelsen) verkar och namnet på den marknad där dess värdepapper är upptagna till handel.</w:t>
            </w:r>
          </w:p>
          <w:p w:rsidR="002F1659" w:rsidRDefault="002F1659" w:rsidP="002F1659"/>
          <w:p w:rsidR="0072662E" w:rsidRDefault="002F1659" w:rsidP="002F1659">
            <w:r>
              <w:t xml:space="preserve">b) När det rör sig om en pool av underliggande instrument där en enda </w:t>
            </w:r>
            <w:r>
              <w:lastRenderedPageBreak/>
              <w:t>referensenhet eller referensförpliktelse motsvarar mindre än 20 % av polen:</w:t>
            </w:r>
          </w:p>
          <w:p w:rsidR="002F1659" w:rsidRDefault="002F1659" w:rsidP="002F1659"/>
          <w:p w:rsidR="002F1659" w:rsidRDefault="002F1659" w:rsidP="002F1659">
            <w:r>
              <w:t>i) Namnen på referensenheterna eller emittenterna av referensförpliktelsen.</w:t>
            </w:r>
          </w:p>
          <w:p w:rsidR="002F1659" w:rsidRDefault="002F1659" w:rsidP="002F1659"/>
          <w:p w:rsidR="002F1659" w:rsidRDefault="002F1659" w:rsidP="002F1659">
            <w:r>
              <w:t>ii) Internationellt standardnummer för värdepapper (ISIN).</w:t>
            </w:r>
          </w:p>
          <w:p w:rsidR="002F1659" w:rsidRDefault="002F1659" w:rsidP="002F1659"/>
          <w:p w:rsidR="002F1659" w:rsidRDefault="002F1659" w:rsidP="002F1659">
            <w:r>
              <w:t>Om det underliggande instrumentet är ett index:</w:t>
            </w:r>
          </w:p>
          <w:p w:rsidR="002F1659" w:rsidRDefault="002F1659" w:rsidP="002F1659"/>
          <w:p w:rsidR="002F1659" w:rsidRDefault="002F1659" w:rsidP="002F1659">
            <w:r>
              <w:t>(a) Indexets namn.</w:t>
            </w:r>
          </w:p>
          <w:p w:rsidR="002F1659" w:rsidRDefault="002F1659" w:rsidP="002F1659"/>
          <w:p w:rsidR="002F1659" w:rsidRDefault="002F1659" w:rsidP="002F1659">
            <w:r>
              <w:t>(b) En beskrivning av indexet, om det har satts samman av emittenten eller en juridisk person som tillhör samma koncern.</w:t>
            </w:r>
          </w:p>
          <w:p w:rsidR="002F1659" w:rsidRDefault="002F1659" w:rsidP="002F1659"/>
          <w:p w:rsidR="002F1659" w:rsidRDefault="002F1659" w:rsidP="002F1659">
            <w:r>
              <w:t>(c) En beskrivning av indexet som tillhandahålls av en juridisk eller fysisk person som agerar i förening med eller på uppdrag av emittenten, såvida inte prospektet innehåller följande uttalanden:</w:t>
            </w:r>
          </w:p>
          <w:p w:rsidR="002F1659" w:rsidRDefault="002F1659" w:rsidP="002F1659"/>
          <w:p w:rsidR="002F1659" w:rsidRDefault="002F1659" w:rsidP="002F1659">
            <w:r>
              <w:t>i) Att indexets fullständiga regelverk och information om dess resultat finns fritt tillgängliga på emittentens eller indextillhandahållarens webbplats.</w:t>
            </w:r>
          </w:p>
          <w:p w:rsidR="002F1659" w:rsidRDefault="002F1659" w:rsidP="002F1659"/>
          <w:p w:rsidR="002F1659" w:rsidRDefault="002F1659" w:rsidP="002F1659">
            <w:r>
              <w:t>ii) Att reglerna för indexet (inklusive dess metodik för urval och ombalansering av indexets komponenter, beskrivning av marknadsstörande händelser samt justeringsregler) bygger på förhandsbestämda och objektiva kriterier.</w:t>
            </w:r>
          </w:p>
          <w:p w:rsidR="002F1659" w:rsidRDefault="002F1659" w:rsidP="002F1659"/>
          <w:p w:rsidR="002F1659" w:rsidRDefault="002F1659" w:rsidP="002F1659">
            <w:r>
              <w:t xml:space="preserve">Leden b och c ska inte gälla om administratören av indexet finns med i det offentliga register som förs av Esma i enlighet med artikel 36 i </w:t>
            </w:r>
            <w:r w:rsidR="0020798B">
              <w:t>förordning (EU) 2016/1011</w:t>
            </w:r>
            <w:r w:rsidR="00A752F0">
              <w:rPr>
                <w:rStyle w:val="Fotnotsreferens"/>
              </w:rPr>
              <w:footnoteReference w:id="1"/>
            </w:r>
            <w:r>
              <w:t>.</w:t>
            </w:r>
          </w:p>
          <w:p w:rsidR="002F1659" w:rsidRDefault="002F1659" w:rsidP="002F1659"/>
          <w:p w:rsidR="002F1659" w:rsidRDefault="002F1659" w:rsidP="002F1659">
            <w:r>
              <w:lastRenderedPageBreak/>
              <w:t>(d) Om indexet inte har satts samman av emittenten, uppgift om var information om indexet kan erhållas.</w:t>
            </w:r>
          </w:p>
          <w:p w:rsidR="002F1659" w:rsidRDefault="002F1659" w:rsidP="002F1659"/>
          <w:p w:rsidR="002F1659" w:rsidRDefault="002F1659" w:rsidP="002F1659">
            <w:r>
              <w:t>Om det underliggande instrumentet är en ränta, en beskrivning av denna ränta.</w:t>
            </w:r>
          </w:p>
          <w:p w:rsidR="002F1659" w:rsidRDefault="002F1659" w:rsidP="002F1659"/>
          <w:p w:rsidR="002F1659" w:rsidRDefault="002F1659" w:rsidP="002F1659">
            <w:r>
              <w:t>Om det underliggande instrumentet inte tillhör någon av de ovan angivna kategorierna, ska värdepappersnoten innehålla likvärdig information.</w:t>
            </w:r>
          </w:p>
          <w:p w:rsidR="002F1659" w:rsidRDefault="002F1659" w:rsidP="002F1659"/>
          <w:p w:rsidR="002F1659" w:rsidRDefault="002F1659" w:rsidP="002F1659">
            <w:r>
              <w:t>Om det underliggande instrumentet är en korg av underliggande instrument, uppgifter om respektive underliggande instrument enligt ovan och relevanta vikttal för varje underliggande instrument som ingår i korgen.</w:t>
            </w:r>
          </w:p>
        </w:tc>
        <w:tc>
          <w:tcPr>
            <w:tcW w:w="1134" w:type="dxa"/>
          </w:tcPr>
          <w:p w:rsidR="001E231D" w:rsidRDefault="001E231D" w:rsidP="005A58CA">
            <w:pPr>
              <w:rPr>
                <w:lang w:val="en-GB"/>
              </w:rPr>
            </w:pPr>
            <w:r w:rsidRPr="001E231D">
              <w:rPr>
                <w:lang w:val="en-GB"/>
              </w:rPr>
              <w:lastRenderedPageBreak/>
              <w:t>A</w:t>
            </w:r>
          </w:p>
          <w:p w:rsidR="002F1659" w:rsidRDefault="002F1659" w:rsidP="005A58CA">
            <w:pPr>
              <w:rPr>
                <w:lang w:val="en-GB"/>
              </w:rPr>
            </w:pPr>
          </w:p>
          <w:p w:rsidR="002F1659" w:rsidRPr="001E231D" w:rsidRDefault="002F1659" w:rsidP="005A58CA">
            <w:pPr>
              <w:rPr>
                <w:lang w:val="en-GB"/>
              </w:rPr>
            </w:pPr>
          </w:p>
          <w:p w:rsidR="001E231D" w:rsidRDefault="001E231D" w:rsidP="005A58CA">
            <w:pPr>
              <w:rPr>
                <w:lang w:val="en-GB"/>
              </w:rPr>
            </w:pPr>
            <w:r w:rsidRPr="001E231D">
              <w:rPr>
                <w:lang w:val="en-GB"/>
              </w:rPr>
              <w:t>C</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Pr="001E231D" w:rsidRDefault="002F1659" w:rsidP="005A58CA">
            <w:pPr>
              <w:rPr>
                <w:lang w:val="en-GB"/>
              </w:rPr>
            </w:pPr>
          </w:p>
          <w:p w:rsidR="001E231D" w:rsidRDefault="001E231D" w:rsidP="005A58CA">
            <w:pPr>
              <w:rPr>
                <w:lang w:val="en-GB"/>
              </w:rPr>
            </w:pPr>
            <w:r w:rsidRPr="001E231D">
              <w:rPr>
                <w:lang w:val="en-GB"/>
              </w:rPr>
              <w:t>C</w:t>
            </w:r>
          </w:p>
          <w:p w:rsidR="002F1659" w:rsidRDefault="002F1659" w:rsidP="005A58CA">
            <w:pPr>
              <w:rPr>
                <w:lang w:val="en-GB"/>
              </w:rPr>
            </w:pPr>
          </w:p>
          <w:p w:rsidR="002F1659" w:rsidRPr="001E231D" w:rsidRDefault="002F1659" w:rsidP="005A58CA">
            <w:pPr>
              <w:rPr>
                <w:lang w:val="en-GB"/>
              </w:rPr>
            </w:pPr>
          </w:p>
          <w:p w:rsidR="001E231D" w:rsidRDefault="001E231D" w:rsidP="005A58CA">
            <w:pPr>
              <w:rPr>
                <w:lang w:val="en-GB"/>
              </w:rPr>
            </w:pPr>
            <w:r w:rsidRPr="001E231D">
              <w:rPr>
                <w:lang w:val="en-GB"/>
              </w:rPr>
              <w:t>C</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Pr="001E231D"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5360A4" w:rsidRDefault="005360A4" w:rsidP="005A58CA">
            <w:pPr>
              <w:rPr>
                <w:lang w:val="en-GB"/>
              </w:rPr>
            </w:pPr>
          </w:p>
          <w:p w:rsidR="005360A4" w:rsidRDefault="005360A4" w:rsidP="005A58CA">
            <w:pPr>
              <w:rPr>
                <w:lang w:val="en-GB"/>
              </w:rPr>
            </w:pPr>
          </w:p>
          <w:p w:rsidR="001E231D" w:rsidRDefault="001E231D" w:rsidP="005A58CA">
            <w:pPr>
              <w:rPr>
                <w:lang w:val="en-GB"/>
              </w:rPr>
            </w:pPr>
            <w:r w:rsidRPr="001E231D">
              <w:rPr>
                <w:lang w:val="en-GB"/>
              </w:rPr>
              <w:t>A</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Pr="001E231D"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1E231D" w:rsidRDefault="001E231D" w:rsidP="005A58CA">
            <w:pPr>
              <w:rPr>
                <w:lang w:val="en-GB"/>
              </w:rPr>
            </w:pPr>
            <w:r w:rsidRPr="001E231D">
              <w:rPr>
                <w:lang w:val="en-GB"/>
              </w:rPr>
              <w:t>C</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127CF8" w:rsidRPr="001E231D" w:rsidRDefault="00127CF8" w:rsidP="005A58CA">
            <w:pPr>
              <w:rPr>
                <w:lang w:val="en-GB"/>
              </w:rPr>
            </w:pPr>
          </w:p>
          <w:p w:rsidR="001E231D" w:rsidRDefault="001E231D" w:rsidP="005A58CA">
            <w:pPr>
              <w:rPr>
                <w:lang w:val="en-GB"/>
              </w:rPr>
            </w:pPr>
            <w:r w:rsidRPr="001E231D">
              <w:rPr>
                <w:lang w:val="en-GB"/>
              </w:rPr>
              <w:t>C</w:t>
            </w:r>
          </w:p>
          <w:p w:rsidR="002F1659" w:rsidRDefault="002F1659" w:rsidP="005A58CA">
            <w:pPr>
              <w:rPr>
                <w:lang w:val="en-GB"/>
              </w:rPr>
            </w:pPr>
          </w:p>
          <w:p w:rsidR="002F1659" w:rsidRPr="001E231D" w:rsidRDefault="002F1659" w:rsidP="005A58CA">
            <w:pPr>
              <w:rPr>
                <w:lang w:val="en-GB"/>
              </w:rPr>
            </w:pPr>
          </w:p>
          <w:p w:rsidR="001E231D" w:rsidRDefault="001E231D" w:rsidP="005A58CA">
            <w:pPr>
              <w:rPr>
                <w:lang w:val="en-GB"/>
              </w:rPr>
            </w:pPr>
            <w:r w:rsidRPr="001E231D">
              <w:rPr>
                <w:lang w:val="en-GB"/>
              </w:rPr>
              <w:t>C</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Pr="001E231D" w:rsidRDefault="002F1659" w:rsidP="005A58CA">
            <w:pPr>
              <w:rPr>
                <w:lang w:val="en-GB"/>
              </w:rPr>
            </w:pPr>
          </w:p>
          <w:p w:rsidR="001E231D" w:rsidRDefault="001E231D" w:rsidP="005A58CA">
            <w:pPr>
              <w:rPr>
                <w:lang w:val="en-GB"/>
              </w:rPr>
            </w:pPr>
            <w:r w:rsidRPr="001E231D">
              <w:rPr>
                <w:lang w:val="en-GB"/>
              </w:rPr>
              <w:t>C</w:t>
            </w:r>
          </w:p>
          <w:p w:rsidR="002F1659" w:rsidRPr="001E231D" w:rsidRDefault="002F1659" w:rsidP="005A58CA">
            <w:pPr>
              <w:rPr>
                <w:lang w:val="en-GB"/>
              </w:rPr>
            </w:pPr>
          </w:p>
          <w:p w:rsidR="001E231D" w:rsidRDefault="001E231D" w:rsidP="005A58CA">
            <w:pPr>
              <w:rPr>
                <w:lang w:val="en-GB"/>
              </w:rPr>
            </w:pPr>
            <w:r w:rsidRPr="001E231D">
              <w:rPr>
                <w:lang w:val="en-GB"/>
              </w:rPr>
              <w:t>A</w:t>
            </w:r>
          </w:p>
          <w:p w:rsidR="002F1659" w:rsidRDefault="002F1659" w:rsidP="005A58CA">
            <w:pPr>
              <w:rPr>
                <w:lang w:val="en-GB"/>
              </w:rPr>
            </w:pPr>
          </w:p>
          <w:p w:rsidR="002F1659" w:rsidRDefault="002F1659" w:rsidP="005A58CA">
            <w:pPr>
              <w:rPr>
                <w:lang w:val="en-GB"/>
              </w:rPr>
            </w:pPr>
          </w:p>
          <w:p w:rsidR="002F1659" w:rsidRPr="001E231D" w:rsidRDefault="002F1659" w:rsidP="005A58CA">
            <w:pPr>
              <w:rPr>
                <w:lang w:val="en-GB"/>
              </w:rPr>
            </w:pPr>
          </w:p>
          <w:p w:rsidR="001E231D" w:rsidRDefault="001E231D" w:rsidP="005A58CA">
            <w:pPr>
              <w:rPr>
                <w:lang w:val="en-GB"/>
              </w:rPr>
            </w:pPr>
            <w:r>
              <w:rPr>
                <w:lang w:val="en-GB"/>
              </w:rPr>
              <w:t>B</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Pr="001E231D"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127CF8" w:rsidRDefault="00127CF8" w:rsidP="005A58CA">
            <w:pPr>
              <w:rPr>
                <w:lang w:val="en-GB"/>
              </w:rPr>
            </w:pPr>
          </w:p>
          <w:p w:rsidR="00127CF8" w:rsidRDefault="00127CF8" w:rsidP="005A58CA">
            <w:pPr>
              <w:rPr>
                <w:lang w:val="en-GB"/>
              </w:rPr>
            </w:pPr>
          </w:p>
          <w:p w:rsidR="002F1659" w:rsidRDefault="002F1659" w:rsidP="005A58CA">
            <w:pPr>
              <w:rPr>
                <w:lang w:val="en-GB"/>
              </w:rPr>
            </w:pPr>
          </w:p>
          <w:p w:rsidR="002F1659" w:rsidRDefault="002F1659" w:rsidP="005A58CA">
            <w:pPr>
              <w:rPr>
                <w:lang w:val="en-GB"/>
              </w:rPr>
            </w:pPr>
          </w:p>
          <w:p w:rsidR="00036B73" w:rsidRDefault="00036B73" w:rsidP="005A58CA">
            <w:pPr>
              <w:rPr>
                <w:lang w:val="en-GB"/>
              </w:rPr>
            </w:pPr>
          </w:p>
          <w:p w:rsidR="002F1659" w:rsidRDefault="002F1659" w:rsidP="005A58CA">
            <w:pPr>
              <w:rPr>
                <w:lang w:val="en-GB"/>
              </w:rPr>
            </w:pPr>
          </w:p>
          <w:p w:rsidR="001E231D" w:rsidRDefault="001E231D" w:rsidP="005A58CA">
            <w:pPr>
              <w:rPr>
                <w:lang w:val="en-GB"/>
              </w:rPr>
            </w:pPr>
            <w:r>
              <w:rPr>
                <w:lang w:val="en-GB"/>
              </w:rPr>
              <w:lastRenderedPageBreak/>
              <w:t>C</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1E231D" w:rsidRDefault="001E231D" w:rsidP="005A58CA">
            <w:pPr>
              <w:rPr>
                <w:lang w:val="en-GB"/>
              </w:rPr>
            </w:pPr>
            <w:r>
              <w:rPr>
                <w:lang w:val="en-GB"/>
              </w:rPr>
              <w:t>C</w:t>
            </w:r>
          </w:p>
          <w:p w:rsidR="002F1659" w:rsidRDefault="002F1659" w:rsidP="005A58CA">
            <w:pPr>
              <w:rPr>
                <w:lang w:val="en-GB"/>
              </w:rPr>
            </w:pPr>
          </w:p>
          <w:p w:rsidR="002F1659" w:rsidRDefault="002F1659" w:rsidP="005A58CA">
            <w:pPr>
              <w:rPr>
                <w:lang w:val="en-GB"/>
              </w:rPr>
            </w:pPr>
          </w:p>
          <w:p w:rsidR="001E231D" w:rsidRDefault="001E231D" w:rsidP="005A58CA">
            <w:pPr>
              <w:rPr>
                <w:lang w:val="en-GB"/>
              </w:rPr>
            </w:pPr>
            <w:r>
              <w:rPr>
                <w:lang w:val="en-GB"/>
              </w:rPr>
              <w:t>C</w:t>
            </w: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2F1659" w:rsidRDefault="002F1659" w:rsidP="005A58CA">
            <w:pPr>
              <w:rPr>
                <w:lang w:val="en-GB"/>
              </w:rPr>
            </w:pPr>
          </w:p>
          <w:p w:rsidR="001E231D" w:rsidRPr="001E231D" w:rsidRDefault="001E231D" w:rsidP="005A58CA">
            <w:pPr>
              <w:rPr>
                <w:lang w:val="en-GB"/>
              </w:rPr>
            </w:pPr>
            <w:r>
              <w:rPr>
                <w:lang w:val="en-GB"/>
              </w:rPr>
              <w:t>C</w:t>
            </w:r>
          </w:p>
        </w:tc>
        <w:tc>
          <w:tcPr>
            <w:tcW w:w="1310" w:type="dxa"/>
            <w:tcMar>
              <w:top w:w="85" w:type="dxa"/>
              <w:bottom w:w="85" w:type="dxa"/>
            </w:tcMar>
          </w:tcPr>
          <w:p w:rsidR="001E231D" w:rsidRPr="001E231D" w:rsidRDefault="00795528" w:rsidP="005A58CA">
            <w:pPr>
              <w:rPr>
                <w:lang w:val="en-GB"/>
              </w:rPr>
            </w:pPr>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1E231D" w:rsidRDefault="00795528" w:rsidP="005A58CA">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E231D" w:rsidTr="00854841">
        <w:tc>
          <w:tcPr>
            <w:tcW w:w="4505" w:type="dxa"/>
            <w:tcMar>
              <w:top w:w="85" w:type="dxa"/>
              <w:bottom w:w="85" w:type="dxa"/>
            </w:tcMar>
          </w:tcPr>
          <w:p w:rsidR="001E231D" w:rsidRDefault="001E231D" w:rsidP="005A58CA">
            <w:r>
              <w:lastRenderedPageBreak/>
              <w:t>2.2.3</w:t>
            </w:r>
            <w:r w:rsidR="007C0DDB">
              <w:t xml:space="preserve"> </w:t>
            </w:r>
            <w:r w:rsidR="007C0DDB" w:rsidRPr="007C0DDB">
              <w:t>En beskrivning av störande händelser på marknaden eller vid avveckling eller kredithändelser som berör det underliggande instrumentet.</w:t>
            </w:r>
          </w:p>
        </w:tc>
        <w:tc>
          <w:tcPr>
            <w:tcW w:w="1134" w:type="dxa"/>
          </w:tcPr>
          <w:p w:rsidR="001E231D" w:rsidRDefault="00795528" w:rsidP="005A58CA">
            <w:r>
              <w:t>B</w:t>
            </w:r>
          </w:p>
        </w:tc>
        <w:tc>
          <w:tcPr>
            <w:tcW w:w="1310"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1E231D"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95528" w:rsidTr="00854841">
        <w:tc>
          <w:tcPr>
            <w:tcW w:w="4505" w:type="dxa"/>
            <w:tcMar>
              <w:top w:w="85" w:type="dxa"/>
              <w:bottom w:w="85" w:type="dxa"/>
            </w:tcMar>
          </w:tcPr>
          <w:p w:rsidR="00795528" w:rsidRDefault="00795528" w:rsidP="005A58CA">
            <w:r>
              <w:t>2.2.4</w:t>
            </w:r>
            <w:r w:rsidR="007C0DDB">
              <w:t xml:space="preserve"> </w:t>
            </w:r>
            <w:r w:rsidR="007C0DDB" w:rsidRPr="007C0DDB">
              <w:t>Regler om justering för händelser som berör det underliggande instrumentet.</w:t>
            </w:r>
          </w:p>
        </w:tc>
        <w:tc>
          <w:tcPr>
            <w:tcW w:w="1134" w:type="dxa"/>
          </w:tcPr>
          <w:p w:rsidR="00795528" w:rsidRDefault="00795528" w:rsidP="005A58CA">
            <w:r>
              <w:t>B</w:t>
            </w:r>
          </w:p>
        </w:tc>
        <w:tc>
          <w:tcPr>
            <w:tcW w:w="1310" w:type="dxa"/>
            <w:tcMar>
              <w:top w:w="85" w:type="dxa"/>
              <w:bottom w:w="85" w:type="dxa"/>
            </w:tcMar>
          </w:tcPr>
          <w:p w:rsidR="00795528"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4" w:type="dxa"/>
            <w:tcMar>
              <w:top w:w="85" w:type="dxa"/>
              <w:bottom w:w="85" w:type="dxa"/>
            </w:tcMar>
          </w:tcPr>
          <w:p w:rsidR="00795528" w:rsidRPr="00EA76B8" w:rsidRDefault="0079552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436585" w:rsidRDefault="00436585" w:rsidP="00692266"/>
    <w:tbl>
      <w:tblPr>
        <w:tblStyle w:val="Tabellrutnt"/>
        <w:tblW w:w="9493" w:type="dxa"/>
        <w:tblLook w:val="04A0" w:firstRow="1" w:lastRow="0" w:firstColumn="1" w:lastColumn="0" w:noHBand="0" w:noVBand="1"/>
      </w:tblPr>
      <w:tblGrid>
        <w:gridCol w:w="4390"/>
        <w:gridCol w:w="1257"/>
        <w:gridCol w:w="1310"/>
        <w:gridCol w:w="2536"/>
      </w:tblGrid>
      <w:tr w:rsidR="00BE6F39" w:rsidTr="005A58CA">
        <w:tc>
          <w:tcPr>
            <w:tcW w:w="9493" w:type="dxa"/>
            <w:gridSpan w:val="4"/>
            <w:tcMar>
              <w:top w:w="85" w:type="dxa"/>
              <w:bottom w:w="85" w:type="dxa"/>
            </w:tcMar>
          </w:tcPr>
          <w:p w:rsidR="00BE6F39" w:rsidRPr="0097068E" w:rsidRDefault="00BE6F39" w:rsidP="005A58CA">
            <w:pPr>
              <w:rPr>
                <w:b/>
              </w:rPr>
            </w:pPr>
            <w:r>
              <w:rPr>
                <w:b/>
              </w:rPr>
              <w:t>3</w:t>
            </w:r>
            <w:r w:rsidRPr="0097068E">
              <w:rPr>
                <w:b/>
              </w:rPr>
              <w:t xml:space="preserve"> </w:t>
            </w:r>
            <w:r>
              <w:rPr>
                <w:b/>
              </w:rPr>
              <w:t>YTTERLIGARE INFORMATION</w:t>
            </w:r>
          </w:p>
        </w:tc>
      </w:tr>
      <w:tr w:rsidR="00BE6F39" w:rsidTr="00854841">
        <w:tc>
          <w:tcPr>
            <w:tcW w:w="4390" w:type="dxa"/>
            <w:tcMar>
              <w:top w:w="85" w:type="dxa"/>
              <w:bottom w:w="85" w:type="dxa"/>
            </w:tcMar>
          </w:tcPr>
          <w:p w:rsidR="00BE6F39" w:rsidRPr="0097068E" w:rsidRDefault="00BE6F39" w:rsidP="005A58CA">
            <w:pPr>
              <w:rPr>
                <w:b/>
              </w:rPr>
            </w:pPr>
            <w:r w:rsidRPr="0097068E">
              <w:rPr>
                <w:b/>
              </w:rPr>
              <w:t xml:space="preserve">Punkt enligt kommissionens </w:t>
            </w:r>
            <w:r>
              <w:rPr>
                <w:b/>
              </w:rPr>
              <w:t>delegerade förordning (EU</w:t>
            </w:r>
            <w:r w:rsidR="005360A4">
              <w:rPr>
                <w:b/>
              </w:rPr>
              <w:t xml:space="preserve">) </w:t>
            </w:r>
            <w:r w:rsidR="005919E3" w:rsidRPr="005F06EF">
              <w:rPr>
                <w:b/>
              </w:rPr>
              <w:t>2019/980</w:t>
            </w:r>
          </w:p>
        </w:tc>
        <w:tc>
          <w:tcPr>
            <w:tcW w:w="1257" w:type="dxa"/>
          </w:tcPr>
          <w:p w:rsidR="00BE6F39" w:rsidRPr="0097068E" w:rsidRDefault="005919E3" w:rsidP="005A58CA">
            <w:pPr>
              <w:rPr>
                <w:b/>
              </w:rPr>
            </w:pPr>
            <w:r>
              <w:rPr>
                <w:b/>
              </w:rPr>
              <w:t>Kate</w:t>
            </w:r>
            <w:r w:rsidR="00BE6F39">
              <w:rPr>
                <w:b/>
              </w:rPr>
              <w:t>gori</w:t>
            </w:r>
          </w:p>
        </w:tc>
        <w:tc>
          <w:tcPr>
            <w:tcW w:w="1310" w:type="dxa"/>
            <w:tcMar>
              <w:top w:w="85" w:type="dxa"/>
              <w:bottom w:w="85" w:type="dxa"/>
            </w:tcMar>
          </w:tcPr>
          <w:p w:rsidR="00BE6F39" w:rsidRPr="00012EFB" w:rsidRDefault="00BE6F39" w:rsidP="005A58CA">
            <w:pPr>
              <w:rPr>
                <w:b/>
              </w:rPr>
            </w:pPr>
            <w:r>
              <w:rPr>
                <w:b/>
              </w:rPr>
              <w:t>Sidor i</w:t>
            </w:r>
            <w:r>
              <w:rPr>
                <w:b/>
              </w:rPr>
              <w:br/>
              <w:t>prospektet</w:t>
            </w:r>
          </w:p>
        </w:tc>
        <w:tc>
          <w:tcPr>
            <w:tcW w:w="2536" w:type="dxa"/>
            <w:tcMar>
              <w:top w:w="85" w:type="dxa"/>
              <w:bottom w:w="85" w:type="dxa"/>
            </w:tcMar>
          </w:tcPr>
          <w:p w:rsidR="00BE6F39" w:rsidRPr="0097068E" w:rsidRDefault="00BE6F39" w:rsidP="005A58CA">
            <w:pPr>
              <w:rPr>
                <w:b/>
              </w:rPr>
            </w:pPr>
            <w:r w:rsidRPr="0097068E">
              <w:rPr>
                <w:b/>
              </w:rPr>
              <w:t>Bolagets kommentarer</w:t>
            </w:r>
          </w:p>
        </w:tc>
      </w:tr>
      <w:tr w:rsidR="00BE6F39" w:rsidTr="00854841">
        <w:tc>
          <w:tcPr>
            <w:tcW w:w="4390" w:type="dxa"/>
            <w:tcMar>
              <w:top w:w="85" w:type="dxa"/>
              <w:bottom w:w="85" w:type="dxa"/>
            </w:tcMar>
          </w:tcPr>
          <w:p w:rsidR="00BE6F39" w:rsidRDefault="00BE6F39" w:rsidP="005A58CA">
            <w:r>
              <w:t>3.1</w:t>
            </w:r>
            <w:r w:rsidR="000C2198">
              <w:t xml:space="preserve"> </w:t>
            </w:r>
            <w:r w:rsidR="009F090D" w:rsidRPr="009F090D">
              <w:t>En upplysning i prospektet om huruvida emittenten avser att rapportera information efter emissionen. Om emittenten anger sin avsikt att rapportera sådan information, ska den specificera i prospektet vilken information som kommer att rapporteras och var den kan erhållas.</w:t>
            </w:r>
          </w:p>
        </w:tc>
        <w:tc>
          <w:tcPr>
            <w:tcW w:w="1257" w:type="dxa"/>
          </w:tcPr>
          <w:p w:rsidR="00BE6F39" w:rsidRPr="00EA76B8" w:rsidRDefault="00BE6F39" w:rsidP="005A58CA">
            <w:r>
              <w:t>C</w:t>
            </w:r>
          </w:p>
        </w:tc>
        <w:tc>
          <w:tcPr>
            <w:tcW w:w="1310" w:type="dxa"/>
            <w:tcMar>
              <w:top w:w="85" w:type="dxa"/>
              <w:bottom w:w="85" w:type="dxa"/>
            </w:tcMar>
          </w:tcPr>
          <w:p w:rsidR="00BE6F39" w:rsidRDefault="00BE6F39"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36" w:type="dxa"/>
            <w:tcMar>
              <w:top w:w="85" w:type="dxa"/>
              <w:bottom w:w="85" w:type="dxa"/>
            </w:tcMar>
          </w:tcPr>
          <w:p w:rsidR="00BE6F39" w:rsidRDefault="00BE6F39"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01465" w:rsidRPr="00692266" w:rsidRDefault="00601465" w:rsidP="00692266"/>
    <w:sectPr w:rsidR="00601465" w:rsidRPr="00692266" w:rsidSect="00DB6253">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E6" w:rsidRDefault="00663AE6" w:rsidP="002D45F1">
      <w:pPr>
        <w:spacing w:line="240" w:lineRule="auto"/>
      </w:pPr>
      <w:r>
        <w:separator/>
      </w:r>
    </w:p>
  </w:endnote>
  <w:endnote w:type="continuationSeparator" w:id="0">
    <w:p w:rsidR="00663AE6" w:rsidRDefault="00663AE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2F" w:rsidRDefault="004A2B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469" w:rsidRPr="0097068E" w:rsidRDefault="00597469" w:rsidP="00597469">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17</w:t>
    </w:r>
    <w:r w:rsidRPr="0097068E">
      <w:rPr>
        <w:rFonts w:ascii="Arial" w:hAnsi="Arial" w:cs="Arial"/>
        <w:sz w:val="18"/>
        <w:szCs w:val="18"/>
      </w:rPr>
      <w:t xml:space="preserve">. Avprickningslista för prospekt. </w:t>
    </w:r>
    <w:r>
      <w:rPr>
        <w:rFonts w:ascii="Arial" w:hAnsi="Arial" w:cs="Arial"/>
        <w:sz w:val="18"/>
        <w:szCs w:val="18"/>
      </w:rPr>
      <w:t>Värdepapper som skapar betalnings- eller leveransskyldigheter kopplade</w:t>
    </w:r>
    <w:r w:rsidR="004A2B2F">
      <w:rPr>
        <w:rFonts w:ascii="Arial" w:hAnsi="Arial" w:cs="Arial"/>
        <w:sz w:val="18"/>
        <w:szCs w:val="18"/>
      </w:rPr>
      <w:t xml:space="preserve"> till en underliggande tillgång.</w:t>
    </w:r>
  </w:p>
  <w:p w:rsidR="00663AE6" w:rsidRDefault="00663AE6" w:rsidP="0069183A">
    <w:pPr>
      <w:pStyle w:val="Sidfot"/>
      <w:jc w:val="center"/>
    </w:pPr>
  </w:p>
  <w:p w:rsidR="00663AE6" w:rsidRDefault="00663AE6" w:rsidP="00472415">
    <w:pPr>
      <w:pStyle w:val="Sidfot"/>
    </w:pPr>
    <w:r>
      <w:fldChar w:fldCharType="begin"/>
    </w:r>
    <w:r>
      <w:instrText xml:space="preserve"> PAGE   \* MERGEFORMAT </w:instrText>
    </w:r>
    <w:r>
      <w:fldChar w:fldCharType="separate"/>
    </w:r>
    <w:r w:rsidR="00EE62E8">
      <w:rPr>
        <w:noProof/>
      </w:rPr>
      <w:t>5</w:t>
    </w:r>
    <w:r>
      <w:fldChar w:fldCharType="end"/>
    </w:r>
    <w:r>
      <w:t xml:space="preserve"> (</w:t>
    </w:r>
    <w:r>
      <w:rPr>
        <w:noProof/>
      </w:rPr>
      <w:fldChar w:fldCharType="begin"/>
    </w:r>
    <w:r>
      <w:rPr>
        <w:noProof/>
      </w:rPr>
      <w:instrText xml:space="preserve"> NUMPAGES  \* Arabic  \* MERGEFORMAT </w:instrText>
    </w:r>
    <w:r>
      <w:rPr>
        <w:noProof/>
      </w:rPr>
      <w:fldChar w:fldCharType="separate"/>
    </w:r>
    <w:r w:rsidR="00EE62E8">
      <w:rPr>
        <w:noProof/>
      </w:rPr>
      <w:t>5</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Pr="0097068E" w:rsidRDefault="00663AE6"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B37802">
      <w:rPr>
        <w:rFonts w:ascii="Arial" w:hAnsi="Arial" w:cs="Arial"/>
        <w:sz w:val="18"/>
        <w:szCs w:val="18"/>
      </w:rPr>
      <w:t>17</w:t>
    </w:r>
    <w:r w:rsidRPr="0097068E">
      <w:rPr>
        <w:rFonts w:ascii="Arial" w:hAnsi="Arial" w:cs="Arial"/>
        <w:sz w:val="18"/>
        <w:szCs w:val="18"/>
      </w:rPr>
      <w:t xml:space="preserve">. Avprickningslista för prospekt. </w:t>
    </w:r>
    <w:r w:rsidR="00597469">
      <w:rPr>
        <w:rFonts w:ascii="Arial" w:hAnsi="Arial" w:cs="Arial"/>
        <w:sz w:val="18"/>
        <w:szCs w:val="18"/>
      </w:rPr>
      <w:t>Värdepapper som skapar betalnings- eller leveransskyldigheter kopplade</w:t>
    </w:r>
    <w:r w:rsidR="004A2B2F">
      <w:rPr>
        <w:rFonts w:ascii="Arial" w:hAnsi="Arial" w:cs="Arial"/>
        <w:sz w:val="18"/>
        <w:szCs w:val="18"/>
      </w:rPr>
      <w:t xml:space="preserve"> till en underliggande tillgång.</w:t>
    </w:r>
  </w:p>
  <w:p w:rsidR="00663AE6" w:rsidRDefault="00663AE6">
    <w:pPr>
      <w:pStyle w:val="Sidfot"/>
    </w:pPr>
  </w:p>
  <w:p w:rsidR="00663AE6" w:rsidRDefault="00663AE6" w:rsidP="0097068E">
    <w:pPr>
      <w:pStyle w:val="Sidfot"/>
      <w:ind w:right="-427"/>
    </w:pPr>
    <w:r>
      <w:fldChar w:fldCharType="begin"/>
    </w:r>
    <w:r>
      <w:instrText xml:space="preserve"> PAGE   \* MERGEFORMAT </w:instrText>
    </w:r>
    <w:r>
      <w:fldChar w:fldCharType="separate"/>
    </w:r>
    <w:r w:rsidR="00EE62E8">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EE62E8">
      <w:rPr>
        <w:noProof/>
      </w:rPr>
      <w:t>5</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E6" w:rsidRDefault="00663AE6" w:rsidP="002D45F1">
      <w:pPr>
        <w:spacing w:line="240" w:lineRule="auto"/>
      </w:pPr>
      <w:r>
        <w:separator/>
      </w:r>
    </w:p>
  </w:footnote>
  <w:footnote w:type="continuationSeparator" w:id="0">
    <w:p w:rsidR="00663AE6" w:rsidRDefault="00663AE6" w:rsidP="002D45F1">
      <w:pPr>
        <w:spacing w:line="240" w:lineRule="auto"/>
      </w:pPr>
      <w:r>
        <w:continuationSeparator/>
      </w:r>
    </w:p>
  </w:footnote>
  <w:footnote w:id="1">
    <w:p w:rsidR="00A752F0" w:rsidRDefault="00A752F0">
      <w:pPr>
        <w:pStyle w:val="Fotnotstext"/>
      </w:pPr>
      <w:r w:rsidRPr="00A752F0">
        <w:rPr>
          <w:rStyle w:val="Fotnotsreferens"/>
          <w:sz w:val="18"/>
        </w:rPr>
        <w:footnoteRef/>
      </w:r>
      <w:r w:rsidRPr="00A752F0">
        <w:rPr>
          <w:sz w:val="18"/>
        </w:rPr>
        <w:t xml:space="preserve"> Europaparlamentets och rådets förordning (EU) 2016/1011 av den 8 juni 2016 om index som används som referensvärden för finansiella instrument och finansiella avtal eller för att mäta investeringsfonders resultat, och om ändring av direktiven 2008/48/EG och 2014/17/EU och förordning (EU) nr 596/2014.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B2F" w:rsidRDefault="004A2B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63AE6" w:rsidTr="00663AE6">
      <w:trPr>
        <w:trHeight w:val="680"/>
      </w:trPr>
      <w:tc>
        <w:tcPr>
          <w:tcW w:w="7654" w:type="dxa"/>
          <w:vAlign w:val="bottom"/>
        </w:tcPr>
        <w:p w:rsidR="00663AE6" w:rsidRDefault="00663AE6" w:rsidP="0013521B">
          <w:pPr>
            <w:jc w:val="right"/>
          </w:pPr>
        </w:p>
      </w:tc>
      <w:tc>
        <w:tcPr>
          <w:tcW w:w="2098" w:type="dxa"/>
          <w:vMerge w:val="restart"/>
        </w:tcPr>
        <w:p w:rsidR="00663AE6" w:rsidRDefault="00663AE6"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63AE6" w:rsidTr="00663AE6">
      <w:tc>
        <w:tcPr>
          <w:tcW w:w="7654" w:type="dxa"/>
        </w:tcPr>
        <w:p w:rsidR="00663AE6" w:rsidRDefault="00663AE6" w:rsidP="0013521B"/>
      </w:tc>
      <w:tc>
        <w:tcPr>
          <w:tcW w:w="2098" w:type="dxa"/>
          <w:vMerge/>
        </w:tcPr>
        <w:p w:rsidR="00663AE6" w:rsidRDefault="00663AE6" w:rsidP="0013521B"/>
      </w:tc>
    </w:tr>
  </w:tbl>
  <w:p w:rsidR="00663AE6" w:rsidRDefault="00663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Default="00663AE6">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ccxJLokhAeAfNrXg+CdmYKV19zryyc4xrNN9QUhvFlCSVA2tEvc1GXcCqrqDhIhcqDiI1OMBOXfmDjeK5Isc1w==" w:salt="lphs6nCLNzAci8dE8RHSlA=="/>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36B73"/>
    <w:rsid w:val="00042DA0"/>
    <w:rsid w:val="00045F27"/>
    <w:rsid w:val="00046B76"/>
    <w:rsid w:val="00057198"/>
    <w:rsid w:val="00065CE2"/>
    <w:rsid w:val="0006620E"/>
    <w:rsid w:val="00084CDC"/>
    <w:rsid w:val="0009680D"/>
    <w:rsid w:val="000B5529"/>
    <w:rsid w:val="000C2198"/>
    <w:rsid w:val="000D0DAA"/>
    <w:rsid w:val="000F44D2"/>
    <w:rsid w:val="0010225C"/>
    <w:rsid w:val="00114EAF"/>
    <w:rsid w:val="0011797D"/>
    <w:rsid w:val="001218E4"/>
    <w:rsid w:val="00127CF8"/>
    <w:rsid w:val="0013521B"/>
    <w:rsid w:val="001361BD"/>
    <w:rsid w:val="00144B6F"/>
    <w:rsid w:val="00164194"/>
    <w:rsid w:val="001664C7"/>
    <w:rsid w:val="001760FC"/>
    <w:rsid w:val="001955E2"/>
    <w:rsid w:val="001A160B"/>
    <w:rsid w:val="001A195A"/>
    <w:rsid w:val="001B2211"/>
    <w:rsid w:val="001B77B4"/>
    <w:rsid w:val="001D1340"/>
    <w:rsid w:val="001D2182"/>
    <w:rsid w:val="001E231D"/>
    <w:rsid w:val="001F441C"/>
    <w:rsid w:val="0020798B"/>
    <w:rsid w:val="0022374A"/>
    <w:rsid w:val="00254453"/>
    <w:rsid w:val="00255F22"/>
    <w:rsid w:val="00261A24"/>
    <w:rsid w:val="00265B2A"/>
    <w:rsid w:val="0028282B"/>
    <w:rsid w:val="002A5CE4"/>
    <w:rsid w:val="002B7897"/>
    <w:rsid w:val="002D25AD"/>
    <w:rsid w:val="002D45F1"/>
    <w:rsid w:val="002E2B2B"/>
    <w:rsid w:val="002F1659"/>
    <w:rsid w:val="002F63D9"/>
    <w:rsid w:val="00337FA6"/>
    <w:rsid w:val="00343ECC"/>
    <w:rsid w:val="00352420"/>
    <w:rsid w:val="0035285A"/>
    <w:rsid w:val="003710FA"/>
    <w:rsid w:val="00375B31"/>
    <w:rsid w:val="003824A7"/>
    <w:rsid w:val="0039104B"/>
    <w:rsid w:val="00395C2A"/>
    <w:rsid w:val="003A09EB"/>
    <w:rsid w:val="003A2E1B"/>
    <w:rsid w:val="003A66D5"/>
    <w:rsid w:val="003B0339"/>
    <w:rsid w:val="003B31FC"/>
    <w:rsid w:val="003B494B"/>
    <w:rsid w:val="003B4BD5"/>
    <w:rsid w:val="0040011A"/>
    <w:rsid w:val="00401A5F"/>
    <w:rsid w:val="00405AE6"/>
    <w:rsid w:val="004069C2"/>
    <w:rsid w:val="00425685"/>
    <w:rsid w:val="0043645C"/>
    <w:rsid w:val="00436585"/>
    <w:rsid w:val="00451CCB"/>
    <w:rsid w:val="004611AC"/>
    <w:rsid w:val="00461D1E"/>
    <w:rsid w:val="00472415"/>
    <w:rsid w:val="004774F6"/>
    <w:rsid w:val="004778B2"/>
    <w:rsid w:val="004A2B2F"/>
    <w:rsid w:val="004B30F5"/>
    <w:rsid w:val="004B43BB"/>
    <w:rsid w:val="004C3BAE"/>
    <w:rsid w:val="004F010E"/>
    <w:rsid w:val="00501655"/>
    <w:rsid w:val="00504B72"/>
    <w:rsid w:val="00504FDF"/>
    <w:rsid w:val="00505E9F"/>
    <w:rsid w:val="005078D2"/>
    <w:rsid w:val="00512DBF"/>
    <w:rsid w:val="005360A4"/>
    <w:rsid w:val="00544750"/>
    <w:rsid w:val="005447D1"/>
    <w:rsid w:val="00552C15"/>
    <w:rsid w:val="00553039"/>
    <w:rsid w:val="00556282"/>
    <w:rsid w:val="00571C62"/>
    <w:rsid w:val="00580A5A"/>
    <w:rsid w:val="005822D8"/>
    <w:rsid w:val="00590178"/>
    <w:rsid w:val="005919E3"/>
    <w:rsid w:val="005928C6"/>
    <w:rsid w:val="00597469"/>
    <w:rsid w:val="005A070A"/>
    <w:rsid w:val="005A7816"/>
    <w:rsid w:val="005B46B5"/>
    <w:rsid w:val="005B477F"/>
    <w:rsid w:val="005B52C3"/>
    <w:rsid w:val="005D1321"/>
    <w:rsid w:val="005E2934"/>
    <w:rsid w:val="005E52EE"/>
    <w:rsid w:val="005F6E26"/>
    <w:rsid w:val="00601465"/>
    <w:rsid w:val="0061580A"/>
    <w:rsid w:val="006448DE"/>
    <w:rsid w:val="00651739"/>
    <w:rsid w:val="006526FD"/>
    <w:rsid w:val="00653EB8"/>
    <w:rsid w:val="00663AE6"/>
    <w:rsid w:val="006701F4"/>
    <w:rsid w:val="00682985"/>
    <w:rsid w:val="00683002"/>
    <w:rsid w:val="006863AD"/>
    <w:rsid w:val="0069183A"/>
    <w:rsid w:val="00692266"/>
    <w:rsid w:val="006A6CAE"/>
    <w:rsid w:val="006C209E"/>
    <w:rsid w:val="006C3BE7"/>
    <w:rsid w:val="006C6AA9"/>
    <w:rsid w:val="006D53CA"/>
    <w:rsid w:val="006D58BB"/>
    <w:rsid w:val="006D68D8"/>
    <w:rsid w:val="00705617"/>
    <w:rsid w:val="0072420F"/>
    <w:rsid w:val="007247D5"/>
    <w:rsid w:val="0072662E"/>
    <w:rsid w:val="00744018"/>
    <w:rsid w:val="00755F3C"/>
    <w:rsid w:val="0077045C"/>
    <w:rsid w:val="007736A4"/>
    <w:rsid w:val="00776136"/>
    <w:rsid w:val="00782004"/>
    <w:rsid w:val="00782253"/>
    <w:rsid w:val="00784291"/>
    <w:rsid w:val="007878F9"/>
    <w:rsid w:val="00795528"/>
    <w:rsid w:val="007A418E"/>
    <w:rsid w:val="007A7327"/>
    <w:rsid w:val="007B0829"/>
    <w:rsid w:val="007C0DDB"/>
    <w:rsid w:val="007E5955"/>
    <w:rsid w:val="007F06F1"/>
    <w:rsid w:val="007F20D4"/>
    <w:rsid w:val="007F2FF2"/>
    <w:rsid w:val="007F66EC"/>
    <w:rsid w:val="008030BA"/>
    <w:rsid w:val="00805276"/>
    <w:rsid w:val="008155DE"/>
    <w:rsid w:val="00821AF9"/>
    <w:rsid w:val="00854841"/>
    <w:rsid w:val="008576E2"/>
    <w:rsid w:val="008706D9"/>
    <w:rsid w:val="00873C56"/>
    <w:rsid w:val="00877615"/>
    <w:rsid w:val="00882407"/>
    <w:rsid w:val="00883D27"/>
    <w:rsid w:val="008A1B84"/>
    <w:rsid w:val="008A5776"/>
    <w:rsid w:val="008B0CD7"/>
    <w:rsid w:val="008D1BCE"/>
    <w:rsid w:val="008D21FB"/>
    <w:rsid w:val="008D234E"/>
    <w:rsid w:val="008E77A4"/>
    <w:rsid w:val="00902017"/>
    <w:rsid w:val="009105CA"/>
    <w:rsid w:val="00912723"/>
    <w:rsid w:val="00920F4F"/>
    <w:rsid w:val="009217E8"/>
    <w:rsid w:val="00930DF8"/>
    <w:rsid w:val="00942E9F"/>
    <w:rsid w:val="00952728"/>
    <w:rsid w:val="009570C3"/>
    <w:rsid w:val="0096271A"/>
    <w:rsid w:val="0096349F"/>
    <w:rsid w:val="0097068E"/>
    <w:rsid w:val="009834DF"/>
    <w:rsid w:val="00986E3B"/>
    <w:rsid w:val="0098745F"/>
    <w:rsid w:val="00987B1B"/>
    <w:rsid w:val="009B4833"/>
    <w:rsid w:val="009B574E"/>
    <w:rsid w:val="009C4BEB"/>
    <w:rsid w:val="009C5F5A"/>
    <w:rsid w:val="009E5CF4"/>
    <w:rsid w:val="009F090D"/>
    <w:rsid w:val="009F2A10"/>
    <w:rsid w:val="00A504CE"/>
    <w:rsid w:val="00A6527B"/>
    <w:rsid w:val="00A752F0"/>
    <w:rsid w:val="00A8160B"/>
    <w:rsid w:val="00A919E7"/>
    <w:rsid w:val="00AB69AB"/>
    <w:rsid w:val="00AC28E8"/>
    <w:rsid w:val="00B114B5"/>
    <w:rsid w:val="00B1244C"/>
    <w:rsid w:val="00B14975"/>
    <w:rsid w:val="00B150CE"/>
    <w:rsid w:val="00B23872"/>
    <w:rsid w:val="00B26B9F"/>
    <w:rsid w:val="00B37802"/>
    <w:rsid w:val="00B42BC3"/>
    <w:rsid w:val="00B62D9C"/>
    <w:rsid w:val="00B95AD8"/>
    <w:rsid w:val="00BA32DE"/>
    <w:rsid w:val="00BA58DE"/>
    <w:rsid w:val="00BA7B69"/>
    <w:rsid w:val="00BB36B1"/>
    <w:rsid w:val="00BB5E59"/>
    <w:rsid w:val="00BC29D1"/>
    <w:rsid w:val="00BD01BC"/>
    <w:rsid w:val="00BE0977"/>
    <w:rsid w:val="00BE3B36"/>
    <w:rsid w:val="00BE6F39"/>
    <w:rsid w:val="00BF18B1"/>
    <w:rsid w:val="00BF670E"/>
    <w:rsid w:val="00C13D27"/>
    <w:rsid w:val="00C206C7"/>
    <w:rsid w:val="00C26004"/>
    <w:rsid w:val="00C30680"/>
    <w:rsid w:val="00C455D5"/>
    <w:rsid w:val="00C5085A"/>
    <w:rsid w:val="00C72239"/>
    <w:rsid w:val="00C82897"/>
    <w:rsid w:val="00C84054"/>
    <w:rsid w:val="00C948D6"/>
    <w:rsid w:val="00CA3F90"/>
    <w:rsid w:val="00CA5277"/>
    <w:rsid w:val="00CA5B73"/>
    <w:rsid w:val="00CA6CEF"/>
    <w:rsid w:val="00CB7149"/>
    <w:rsid w:val="00CC1742"/>
    <w:rsid w:val="00CC1BB7"/>
    <w:rsid w:val="00CC200C"/>
    <w:rsid w:val="00CC4072"/>
    <w:rsid w:val="00CD2A2E"/>
    <w:rsid w:val="00D02999"/>
    <w:rsid w:val="00D03347"/>
    <w:rsid w:val="00D1566A"/>
    <w:rsid w:val="00D26768"/>
    <w:rsid w:val="00D6647A"/>
    <w:rsid w:val="00D7107F"/>
    <w:rsid w:val="00D87232"/>
    <w:rsid w:val="00D87273"/>
    <w:rsid w:val="00D9765C"/>
    <w:rsid w:val="00DB2F3E"/>
    <w:rsid w:val="00DB6253"/>
    <w:rsid w:val="00DB7A03"/>
    <w:rsid w:val="00E045EB"/>
    <w:rsid w:val="00E22341"/>
    <w:rsid w:val="00E315E2"/>
    <w:rsid w:val="00E43086"/>
    <w:rsid w:val="00E46D77"/>
    <w:rsid w:val="00E47106"/>
    <w:rsid w:val="00E52331"/>
    <w:rsid w:val="00E57E4C"/>
    <w:rsid w:val="00E819F5"/>
    <w:rsid w:val="00E922CA"/>
    <w:rsid w:val="00E94080"/>
    <w:rsid w:val="00E95697"/>
    <w:rsid w:val="00EB0E57"/>
    <w:rsid w:val="00EC1A6D"/>
    <w:rsid w:val="00EC52A2"/>
    <w:rsid w:val="00EC7F03"/>
    <w:rsid w:val="00ED653C"/>
    <w:rsid w:val="00EE62E8"/>
    <w:rsid w:val="00EF2B0C"/>
    <w:rsid w:val="00F34035"/>
    <w:rsid w:val="00F42A0F"/>
    <w:rsid w:val="00F52D28"/>
    <w:rsid w:val="00F55D72"/>
    <w:rsid w:val="00F57003"/>
    <w:rsid w:val="00F57636"/>
    <w:rsid w:val="00F64434"/>
    <w:rsid w:val="00F649ED"/>
    <w:rsid w:val="00F64DAA"/>
    <w:rsid w:val="00F77977"/>
    <w:rsid w:val="00FA1B81"/>
    <w:rsid w:val="00FB3C5F"/>
    <w:rsid w:val="00FB6818"/>
    <w:rsid w:val="00FC19F2"/>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25DF9B2B-447E-4573-B056-8D5D8E17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customStyle="1" w:styleId="Default">
    <w:name w:val="Default"/>
    <w:rsid w:val="00C455D5"/>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501655"/>
    <w:pPr>
      <w:ind w:left="720"/>
      <w:contextualSpacing/>
    </w:pPr>
  </w:style>
  <w:style w:type="paragraph" w:styleId="Fotnotstext">
    <w:name w:val="footnote text"/>
    <w:basedOn w:val="Normal"/>
    <w:link w:val="FotnotstextChar"/>
    <w:uiPriority w:val="99"/>
    <w:semiHidden/>
    <w:unhideWhenUsed/>
    <w:rsid w:val="00A752F0"/>
    <w:pPr>
      <w:spacing w:line="240" w:lineRule="auto"/>
    </w:pPr>
    <w:rPr>
      <w:sz w:val="20"/>
      <w:szCs w:val="20"/>
    </w:rPr>
  </w:style>
  <w:style w:type="character" w:customStyle="1" w:styleId="FotnotstextChar">
    <w:name w:val="Fotnotstext Char"/>
    <w:basedOn w:val="Standardstycketeckensnitt"/>
    <w:link w:val="Fotnotstext"/>
    <w:uiPriority w:val="99"/>
    <w:semiHidden/>
    <w:rsid w:val="00A752F0"/>
    <w:rPr>
      <w:sz w:val="20"/>
      <w:szCs w:val="20"/>
    </w:rPr>
  </w:style>
  <w:style w:type="character" w:styleId="Fotnotsreferens">
    <w:name w:val="footnote reference"/>
    <w:basedOn w:val="Standardstycketeckensnitt"/>
    <w:uiPriority w:val="99"/>
    <w:semiHidden/>
    <w:unhideWhenUsed/>
    <w:rsid w:val="00A75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6803E29A-3D31-44F7-B4B0-EAFC6688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0</TotalTime>
  <Pages>5</Pages>
  <Words>1160</Words>
  <Characters>6150</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2019-07-03T09:36:00Z</dcterms:created>
  <dcterms:modified xsi:type="dcterms:W3CDTF">2019-07-04T12:25:00Z</dcterms:modified>
</cp:coreProperties>
</file>